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Calibri" w:cs="Calibri" w:eastAsia="Calibri" w:hAnsi="Calibri"/>
          <w:b/>
          <w:bCs/>
          <w:color w:val="2A6496"/>
          <w:sz w:val="48"/>
          <w:szCs w:val="48"/>
        </w:rPr>
        <w:t xml:space="preserve">Gap Analysis Report</w:t>
      </w:r>
    </w:p>
    <w:p>
      <w:pPr>
        <w:spacing w:after="200"/>
      </w:pPr>
      <w:r>
        <w:rPr>
          <w:rFonts w:ascii="Calibri" w:cs="Calibri" w:eastAsia="Calibri" w:hAnsi="Calibri"/>
          <w:color w:val="666666"/>
          <w:sz w:val="28"/>
          <w:szCs w:val="28"/>
        </w:rPr>
        <w:t xml:space="preserve">Current vs Automated Credit Lifecycle</w:t>
      </w:r>
    </w:p>
    <w:p>
      <w:pPr>
        <w:spacing w:after="200" w:before="200"/>
      </w:pPr>
      <w:r>
        <w:rPr>
          <w:rFonts w:ascii="Calibri" w:cs="Calibri" w:eastAsia="Calibri" w:hAnsi="Calibri"/>
          <w:b/>
          <w:bCs/>
          <w:color w:val="2A6496"/>
          <w:sz w:val="26"/>
          <w:szCs w:val="26"/>
        </w:rPr>
        <w:t xml:space="preserve">Document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r>
              <w:rPr>
                <w:rFonts w:ascii="Calibri" w:cs="Calibri" w:eastAsia="Calibri" w:hAnsi="Calibri"/>
                <w:b/>
                <w:bCs/>
                <w:color w:val="1B3A5C"/>
                <w:sz w:val="21"/>
                <w:szCs w:val="21"/>
              </w:rPr>
              <w:t xml:space="preserve">Project</w:t>
            </w:r>
          </w:p>
        </w:tc>
        <w:tc>
          <w:tcPr>
            <w:tcW w:type="pct" w:w="7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rFonts w:ascii="Calibri" w:cs="Calibri" w:eastAsia="Calibri" w:hAnsi="Calibri"/>
                <w:color w:val="333333"/>
                <w:sz w:val="21"/>
                <w:szCs w:val="21"/>
              </w:rPr>
              <w:t xml:space="preserve">Embafinans Credit Lifecycle Platform</w:t>
            </w:r>
          </w:p>
        </w:tc>
      </w:tr>
      <w:tr>
        <w:tc>
          <w:tcPr>
            <w:tcW w:type="pct" w:w="3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r>
              <w:rPr>
                <w:rFonts w:ascii="Calibri" w:cs="Calibri" w:eastAsia="Calibri" w:hAnsi="Calibri"/>
                <w:b/>
                <w:bCs/>
                <w:color w:val="1B3A5C"/>
                <w:sz w:val="21"/>
                <w:szCs w:val="21"/>
              </w:rPr>
              <w:t xml:space="preserve">Document Version</w:t>
            </w:r>
          </w:p>
        </w:tc>
        <w:tc>
          <w:tcPr>
            <w:tcW w:type="pct" w:w="7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rFonts w:ascii="Calibri" w:cs="Calibri" w:eastAsia="Calibri" w:hAnsi="Calibri"/>
                <w:color w:val="333333"/>
                <w:sz w:val="21"/>
                <w:szCs w:val="21"/>
              </w:rPr>
              <w:t xml:space="preserve">1.0</w:t>
            </w:r>
          </w:p>
        </w:tc>
      </w:tr>
      <w:tr>
        <w:tc>
          <w:tcPr>
            <w:tcW w:type="pct" w:w="3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r>
              <w:rPr>
                <w:rFonts w:ascii="Calibri" w:cs="Calibri" w:eastAsia="Calibri" w:hAnsi="Calibri"/>
                <w:b/>
                <w:bCs/>
                <w:color w:val="1B3A5C"/>
                <w:sz w:val="21"/>
                <w:szCs w:val="21"/>
              </w:rPr>
              <w:t xml:space="preserve">Date</w:t>
            </w:r>
          </w:p>
        </w:tc>
        <w:tc>
          <w:tcPr>
            <w:tcW w:type="pct" w:w="7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rFonts w:ascii="Calibri" w:cs="Calibri" w:eastAsia="Calibri" w:hAnsi="Calibri"/>
                <w:color w:val="333333"/>
                <w:sz w:val="21"/>
                <w:szCs w:val="21"/>
              </w:rPr>
              <w:t xml:space="preserve">2026-04-25</w:t>
            </w:r>
          </w:p>
        </w:tc>
      </w:tr>
      <w:tr>
        <w:tc>
          <w:tcPr>
            <w:tcW w:type="pct" w:w="3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r>
              <w:rPr>
                <w:rFonts w:ascii="Calibri" w:cs="Calibri" w:eastAsia="Calibri" w:hAnsi="Calibri"/>
                <w:b/>
                <w:bCs/>
                <w:color w:val="1B3A5C"/>
                <w:sz w:val="21"/>
                <w:szCs w:val="21"/>
              </w:rPr>
              <w:t xml:space="preserve">Author</w:t>
            </w:r>
          </w:p>
        </w:tc>
        <w:tc>
          <w:tcPr>
            <w:tcW w:type="pct" w:w="7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rFonts w:ascii="Calibri" w:cs="Calibri" w:eastAsia="Calibri" w:hAnsi="Calibri"/>
                <w:color w:val="333333"/>
                <w:sz w:val="21"/>
                <w:szCs w:val="21"/>
              </w:rPr>
              <w:t xml:space="preserve">Embafinans BA Team</w:t>
            </w:r>
          </w:p>
        </w:tc>
      </w:tr>
      <w:tr>
        <w:tc>
          <w:tcPr>
            <w:tcW w:type="pct" w:w="3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r>
              <w:rPr>
                <w:rFonts w:ascii="Calibri" w:cs="Calibri" w:eastAsia="Calibri" w:hAnsi="Calibri"/>
                <w:b/>
                <w:bCs/>
                <w:color w:val="1B3A5C"/>
                <w:sz w:val="21"/>
                <w:szCs w:val="21"/>
              </w:rPr>
              <w:t xml:space="preserve">Status</w:t>
            </w:r>
          </w:p>
        </w:tc>
        <w:tc>
          <w:tcPr>
            <w:tcW w:type="pct" w:w="7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rFonts w:ascii="Calibri" w:cs="Calibri" w:eastAsia="Calibri" w:hAnsi="Calibri"/>
                <w:color w:val="333333"/>
                <w:sz w:val="21"/>
                <w:szCs w:val="21"/>
              </w:rPr>
              <w:t xml:space="preserve">Draft</w:t>
            </w:r>
          </w:p>
        </w:tc>
      </w:tr>
    </w:tbl>
    <w:p>
      <w:pPr>
        <w:spacing w:after="100" w:before="100"/>
      </w:pPr>
      <w:r>
        <w:rPr>
          <w:rFonts w:ascii="Calibri" w:cs="Calibri" w:eastAsia="Calibri" w:hAnsi="Calibri"/>
          <w:i/>
          <w:iCs/>
          <w:color w:val="666666"/>
          <w:sz w:val="18"/>
          <w:szCs w:val="18"/>
        </w:rPr>
        <w:t xml:space="preserve">Confidentiality Notice: This document contains confidential information belonging to Embafinans. Unauthorized distribution is prohibited.</w:t>
      </w:r>
    </w:p>
    <w:p>
      <w:r>
        <w:br/>
      </w:r>
    </w:p>
    <w:p>
      <w:pPr>
        <w:spacing w:after="200" w:before="400" w:line="276"/>
      </w:pPr>
      <w:r>
        <w:rPr>
          <w:rFonts w:ascii="Calibri" w:cs="Calibri" w:eastAsia="Calibri" w:hAnsi="Calibri"/>
          <w:b/>
          <w:bCs/>
          <w:color w:val="2A6496"/>
          <w:sz w:val="32"/>
          <w:szCs w:val="32"/>
        </w:rPr>
        <w:t xml:space="preserve">Table of Contents</w:t>
      </w:r>
    </w:p>
    <w:p>
      <w:pPr>
        <w:spacing w:after="100" w:line="276"/>
        <w:ind w:left="360"/>
      </w:pPr>
      <w:r>
        <w:rPr>
          <w:rFonts w:ascii="Calibri" w:cs="Calibri" w:eastAsia="Calibri" w:hAnsi="Calibri"/>
          <w:b/>
          <w:bCs/>
          <w:color w:val="2A6496"/>
          <w:sz w:val="21"/>
          <w:szCs w:val="21"/>
        </w:rPr>
        <w:t xml:space="preserve">1.  </w:t>
      </w:r>
      <w:r>
        <w:rPr>
          <w:rFonts w:ascii="Calibri" w:cs="Calibri" w:eastAsia="Calibri" w:hAnsi="Calibri"/>
          <w:color w:val="333333"/>
          <w:sz w:val="21"/>
          <w:szCs w:val="21"/>
        </w:rPr>
        <w:t xml:space="preserve">Introduction</w:t>
      </w:r>
    </w:p>
    <w:p>
      <w:pPr>
        <w:spacing w:after="100" w:line="276"/>
        <w:ind w:left="360"/>
      </w:pPr>
      <w:r>
        <w:rPr>
          <w:rFonts w:ascii="Calibri" w:cs="Calibri" w:eastAsia="Calibri" w:hAnsi="Calibri"/>
          <w:b/>
          <w:bCs/>
          <w:color w:val="2A6496"/>
          <w:sz w:val="21"/>
          <w:szCs w:val="21"/>
        </w:rPr>
        <w:t xml:space="preserve">2.  </w:t>
      </w:r>
      <w:r>
        <w:rPr>
          <w:rFonts w:ascii="Calibri" w:cs="Calibri" w:eastAsia="Calibri" w:hAnsi="Calibri"/>
          <w:color w:val="333333"/>
          <w:sz w:val="21"/>
          <w:szCs w:val="21"/>
        </w:rPr>
        <w:t xml:space="preserve">Methodology</w:t>
      </w:r>
    </w:p>
    <w:p>
      <w:pPr>
        <w:spacing w:after="100" w:line="276"/>
        <w:ind w:left="360"/>
      </w:pPr>
      <w:r>
        <w:rPr>
          <w:rFonts w:ascii="Calibri" w:cs="Calibri" w:eastAsia="Calibri" w:hAnsi="Calibri"/>
          <w:b/>
          <w:bCs/>
          <w:color w:val="2A6496"/>
          <w:sz w:val="21"/>
          <w:szCs w:val="21"/>
        </w:rPr>
        <w:t xml:space="preserve">3.  </w:t>
      </w:r>
      <w:r>
        <w:rPr>
          <w:rFonts w:ascii="Calibri" w:cs="Calibri" w:eastAsia="Calibri" w:hAnsi="Calibri"/>
          <w:color w:val="333333"/>
          <w:sz w:val="21"/>
          <w:szCs w:val="21"/>
        </w:rPr>
        <w:t xml:space="preserve">Gap Analysis Matrix</w:t>
      </w:r>
    </w:p>
    <w:p>
      <w:pPr>
        <w:spacing w:after="100" w:line="276"/>
        <w:ind w:left="360"/>
      </w:pPr>
      <w:r>
        <w:rPr>
          <w:rFonts w:ascii="Calibri" w:cs="Calibri" w:eastAsia="Calibri" w:hAnsi="Calibri"/>
          <w:b/>
          <w:bCs/>
          <w:color w:val="2A6496"/>
          <w:sz w:val="21"/>
          <w:szCs w:val="21"/>
        </w:rPr>
        <w:t xml:space="preserve">4.  </w:t>
      </w:r>
      <w:r>
        <w:rPr>
          <w:rFonts w:ascii="Calibri" w:cs="Calibri" w:eastAsia="Calibri" w:hAnsi="Calibri"/>
          <w:color w:val="333333"/>
          <w:sz w:val="21"/>
          <w:szCs w:val="21"/>
        </w:rPr>
        <w:t xml:space="preserve">Priority Summary &amp; Roadmap</w:t>
      </w:r>
    </w:p>
    <w:p>
      <w:pPr>
        <w:spacing w:after="100" w:line="276"/>
        <w:ind w:left="360"/>
      </w:pPr>
      <w:r>
        <w:rPr>
          <w:rFonts w:ascii="Calibri" w:cs="Calibri" w:eastAsia="Calibri" w:hAnsi="Calibri"/>
          <w:b/>
          <w:bCs/>
          <w:color w:val="2A6496"/>
          <w:sz w:val="21"/>
          <w:szCs w:val="21"/>
        </w:rPr>
        <w:t xml:space="preserve">5.  </w:t>
      </w:r>
      <w:r>
        <w:rPr>
          <w:rFonts w:ascii="Calibri" w:cs="Calibri" w:eastAsia="Calibri" w:hAnsi="Calibri"/>
          <w:color w:val="333333"/>
          <w:sz w:val="21"/>
          <w:szCs w:val="21"/>
        </w:rPr>
        <w:t xml:space="preserve">Risk Assessment</w:t>
      </w:r>
    </w:p>
    <w:p>
      <w:r>
        <w:br w:type="page"/>
      </w:r>
    </w:p>
    <w:p>
      <w:pPr>
        <w:spacing w:after="200" w:before="400" w:line="276"/>
      </w:pPr>
      <w:r>
        <w:rPr>
          <w:rFonts w:ascii="Calibri" w:cs="Calibri" w:eastAsia="Calibri" w:hAnsi="Calibri"/>
          <w:b/>
          <w:bCs/>
          <w:color w:val="2A6496"/>
          <w:sz w:val="32"/>
          <w:szCs w:val="32"/>
        </w:rPr>
        <w:t xml:space="preserve">1. Introduction</w:t>
      </w:r>
    </w:p>
    <w:p>
      <w:pPr>
        <w:spacing w:after="120" w:line="276"/>
      </w:pPr>
      <w:r>
        <w:rPr>
          <w:rFonts w:ascii="Calibri" w:cs="Calibri" w:eastAsia="Calibri" w:hAnsi="Calibri"/>
          <w:color w:val="333333"/>
          <w:sz w:val="21"/>
          <w:szCs w:val="21"/>
        </w:rPr>
        <w:t xml:space="preserve">This Gap Analysis document provides a comprehensive comparison between the current manual credit lifecycle management at Embafinans and the proposed automated Credit Lifecycle Platform. The analysis covers all stages from application intake through collection, identifying critical gaps and providing a prioritized implementation roadmap.</w:t>
      </w:r>
    </w:p>
    <w:p>
      <w:pPr>
        <w:spacing w:after="120" w:line="276"/>
      </w:pPr>
      <w:r>
        <w:rPr>
          <w:rFonts w:ascii="Calibri" w:cs="Calibri" w:eastAsia="Calibri" w:hAnsi="Calibri"/>
          <w:color w:val="333333"/>
          <w:sz w:val="21"/>
          <w:szCs w:val="21"/>
        </w:rPr>
        <w:t xml:space="preserve">The current state reflects Embafinans' operations as observed during the Q4 2024 assessment period. The future state is based on the requirements defined in the SRS_Credit_Lifecycle.docx (v1.0) and supporting FRD documents.</w:t>
      </w:r>
    </w:p>
    <w:p>
      <w:pPr>
        <w:spacing w:after="200" w:before="400" w:line="276"/>
      </w:pPr>
      <w:r>
        <w:rPr>
          <w:rFonts w:ascii="Calibri" w:cs="Calibri" w:eastAsia="Calibri" w:hAnsi="Calibri"/>
          <w:b/>
          <w:bCs/>
          <w:color w:val="2A6496"/>
          <w:sz w:val="32"/>
          <w:szCs w:val="32"/>
        </w:rPr>
        <w:t xml:space="preserve">2. Methodology</w:t>
      </w:r>
    </w:p>
    <w:p>
      <w:pPr>
        <w:spacing w:after="120" w:line="276"/>
      </w:pPr>
      <w:r>
        <w:rPr>
          <w:rFonts w:ascii="Calibri" w:cs="Calibri" w:eastAsia="Calibri" w:hAnsi="Calibri"/>
          <w:color w:val="333333"/>
          <w:sz w:val="21"/>
          <w:szCs w:val="21"/>
        </w:rPr>
        <w:t xml:space="preserve">The analysis was conducted using the following approach:</w:t>
      </w:r>
    </w:p>
    <w:p>
      <w:pPr>
        <w:spacing w:after="100" w:line="276"/>
        <w:ind w:left="360"/>
      </w:pPr>
      <w:r>
        <w:rPr>
          <w:rFonts w:ascii="Calibri" w:cs="Calibri" w:eastAsia="Calibri" w:hAnsi="Calibri"/>
          <w:b/>
          <w:bCs/>
          <w:color w:val="2A6496"/>
          <w:sz w:val="21"/>
          <w:szCs w:val="21"/>
        </w:rPr>
        <w:t xml:space="preserve">1.  </w:t>
      </w:r>
      <w:r>
        <w:rPr>
          <w:rFonts w:ascii="Calibri" w:cs="Calibri" w:eastAsia="Calibri" w:hAnsi="Calibri"/>
          <w:color w:val="333333"/>
          <w:sz w:val="21"/>
          <w:szCs w:val="21"/>
        </w:rPr>
        <w:t xml:space="preserve">Stakeholder Interviews: Sessions with Risk, Sales, Operations, Finance, and IT departments.</w:t>
      </w:r>
    </w:p>
    <w:p>
      <w:pPr>
        <w:spacing w:after="100" w:line="276"/>
        <w:ind w:left="360"/>
      </w:pPr>
      <w:r>
        <w:rPr>
          <w:rFonts w:ascii="Calibri" w:cs="Calibri" w:eastAsia="Calibri" w:hAnsi="Calibri"/>
          <w:b/>
          <w:bCs/>
          <w:color w:val="2A6496"/>
          <w:sz w:val="21"/>
          <w:szCs w:val="21"/>
        </w:rPr>
        <w:t xml:space="preserve">2.  </w:t>
      </w:r>
      <w:r>
        <w:rPr>
          <w:rFonts w:ascii="Calibri" w:cs="Calibri" w:eastAsia="Calibri" w:hAnsi="Calibri"/>
          <w:color w:val="333333"/>
          <w:sz w:val="21"/>
          <w:szCs w:val="21"/>
        </w:rPr>
        <w:t xml:space="preserve">Process Observation: Shadowing of credit analysts, collection agents, and operations staff.</w:t>
      </w:r>
    </w:p>
    <w:p>
      <w:pPr>
        <w:spacing w:after="100" w:line="276"/>
        <w:ind w:left="360"/>
      </w:pPr>
      <w:r>
        <w:rPr>
          <w:rFonts w:ascii="Calibri" w:cs="Calibri" w:eastAsia="Calibri" w:hAnsi="Calibri"/>
          <w:b/>
          <w:bCs/>
          <w:color w:val="2A6496"/>
          <w:sz w:val="21"/>
          <w:szCs w:val="21"/>
        </w:rPr>
        <w:t xml:space="preserve">3.  </w:t>
      </w:r>
      <w:r>
        <w:rPr>
          <w:rFonts w:ascii="Calibri" w:cs="Calibri" w:eastAsia="Calibri" w:hAnsi="Calibri"/>
          <w:color w:val="333333"/>
          <w:sz w:val="21"/>
          <w:szCs w:val="21"/>
        </w:rPr>
        <w:t xml:space="preserve">Document Review: Analysis of existing SOPs, checklists, and spreadsheet-based workflows.</w:t>
      </w:r>
    </w:p>
    <w:p>
      <w:pPr>
        <w:spacing w:after="100" w:line="276"/>
        <w:ind w:left="360"/>
      </w:pPr>
      <w:r>
        <w:rPr>
          <w:rFonts w:ascii="Calibri" w:cs="Calibri" w:eastAsia="Calibri" w:hAnsi="Calibri"/>
          <w:b/>
          <w:bCs/>
          <w:color w:val="2A6496"/>
          <w:sz w:val="21"/>
          <w:szCs w:val="21"/>
        </w:rPr>
        <w:t xml:space="preserve">4.  </w:t>
      </w:r>
      <w:r>
        <w:rPr>
          <w:rFonts w:ascii="Calibri" w:cs="Calibri" w:eastAsia="Calibri" w:hAnsi="Calibri"/>
          <w:color w:val="333333"/>
          <w:sz w:val="21"/>
          <w:szCs w:val="21"/>
        </w:rPr>
        <w:t xml:space="preserve">Gap Identification: Systematic comparison of current capabilities vs. target requirements.</w:t>
      </w:r>
    </w:p>
    <w:p>
      <w:pPr>
        <w:spacing w:after="100" w:line="276"/>
        <w:ind w:left="360"/>
      </w:pPr>
      <w:r>
        <w:rPr>
          <w:rFonts w:ascii="Calibri" w:cs="Calibri" w:eastAsia="Calibri" w:hAnsi="Calibri"/>
          <w:b/>
          <w:bCs/>
          <w:color w:val="2A6496"/>
          <w:sz w:val="21"/>
          <w:szCs w:val="21"/>
        </w:rPr>
        <w:t xml:space="preserve">5.  </w:t>
      </w:r>
      <w:r>
        <w:rPr>
          <w:rFonts w:ascii="Calibri" w:cs="Calibri" w:eastAsia="Calibri" w:hAnsi="Calibri"/>
          <w:color w:val="333333"/>
          <w:sz w:val="21"/>
          <w:szCs w:val="21"/>
        </w:rPr>
        <w:t xml:space="preserve">Impact Assessment: Business impact scoring for each gap (High/Medium/Low).</w:t>
      </w:r>
    </w:p>
    <w:p>
      <w:pPr>
        <w:spacing w:after="120" w:line="276"/>
      </w:pPr>
      <w:r>
        <w:rPr>
          <w:rFonts w:ascii="Calibri" w:cs="Calibri" w:eastAsia="Calibri" w:hAnsi="Calibri"/>
          <w:color w:val="333333"/>
          <w:sz w:val="21"/>
          <w:szCs w:val="21"/>
        </w:rPr>
        <w:t xml:space="preserve">Each gap is assessed on two dimensions:</w:t>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Business Impact: How significantly does the gap affect operations, revenue, or compliance?</w:t>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Implementation Complexity: How difficult is it to close the gap (technical, organizational, cost)?</w:t>
      </w:r>
    </w:p>
    <w:p>
      <w:pPr>
        <w:spacing w:after="200" w:before="400" w:line="276"/>
      </w:pPr>
      <w:r>
        <w:rPr>
          <w:rFonts w:ascii="Calibri" w:cs="Calibri" w:eastAsia="Calibri" w:hAnsi="Calibri"/>
          <w:b/>
          <w:bCs/>
          <w:color w:val="2A6496"/>
          <w:sz w:val="32"/>
          <w:szCs w:val="32"/>
        </w:rPr>
        <w:t xml:space="preserve">3. Gap Analysis Matrix</w:t>
      </w:r>
    </w:p>
    <w:p>
      <w:pPr>
        <w:spacing w:after="120" w:line="276"/>
      </w:pPr>
      <w:r>
        <w:rPr>
          <w:rFonts w:ascii="Calibri" w:cs="Calibri" w:eastAsia="Calibri" w:hAnsi="Calibri"/>
          <w:color w:val="333333"/>
          <w:sz w:val="21"/>
          <w:szCs w:val="21"/>
        </w:rPr>
        <w:t xml:space="preserve">The following table presents the gap analysis across all credit lifecycle stages:</w:t>
      </w:r>
    </w:p>
    <w:p>
      <w:pPr>
        <w:spacing w:after="60"/>
      </w:pPr>
      <w:r>
        <w:rPr>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gridCol w:w="100"/>
        <w:gridCol w:w="100"/>
        <w:gridCol w:w="100"/>
      </w:tblGrid>
      <w:tr>
        <w:trPr>
          <w:tblHeader/>
        </w:trPr>
        <w:tc>
          <w:tcPr>
            <w:tcW w:type="dxa" w:w="1300"/>
            <w:tcBorders>
              <w:top w:val="single" w:color="CCCCCC" w:sz="1"/>
              <w:left w:val="single" w:color="CCCCCC" w:sz="1"/>
              <w:bottom w:val="single" w:color="CCCCCC" w:sz="1"/>
              <w:right w:val="single" w:color="CCCCCC" w:sz="1"/>
            </w:tcBorders>
            <w:shd w:color="2A6496" w:val="solid"/>
            <w:tcMar>
              <w:top w:type="dxa" w:w="80"/>
              <w:left w:type="dxa" w:w="80"/>
              <w:bottom w:type="dxa" w:w="80"/>
              <w:right w:type="dxa" w:w="80"/>
            </w:tcMar>
            <w:vAlign w:val="center"/>
          </w:tcPr>
          <w:p>
            <w:pPr>
              <w:spacing w:line="276"/>
              <w:jc w:val="center"/>
            </w:pPr>
            <w:r>
              <w:rPr>
                <w:rFonts w:ascii="Calibri" w:cs="Calibri" w:eastAsia="Calibri" w:hAnsi="Calibri"/>
                <w:b/>
                <w:bCs/>
                <w:color w:val="FFFFFF"/>
                <w:sz w:val="20"/>
                <w:szCs w:val="20"/>
              </w:rPr>
              <w:t xml:space="preserve">Area</w:t>
            </w:r>
          </w:p>
        </w:tc>
        <w:tc>
          <w:tcPr>
            <w:tcW w:type="dxa" w:w="1700"/>
            <w:tcBorders>
              <w:top w:val="single" w:color="CCCCCC" w:sz="1"/>
              <w:left w:val="single" w:color="CCCCCC" w:sz="1"/>
              <w:bottom w:val="single" w:color="CCCCCC" w:sz="1"/>
              <w:right w:val="single" w:color="CCCCCC" w:sz="1"/>
            </w:tcBorders>
            <w:shd w:color="2A6496" w:val="solid"/>
            <w:tcMar>
              <w:top w:type="dxa" w:w="80"/>
              <w:left w:type="dxa" w:w="80"/>
              <w:bottom w:type="dxa" w:w="80"/>
              <w:right w:type="dxa" w:w="80"/>
            </w:tcMar>
            <w:vAlign w:val="center"/>
          </w:tcPr>
          <w:p>
            <w:pPr>
              <w:spacing w:line="276"/>
              <w:jc w:val="center"/>
            </w:pPr>
            <w:r>
              <w:rPr>
                <w:rFonts w:ascii="Calibri" w:cs="Calibri" w:eastAsia="Calibri" w:hAnsi="Calibri"/>
                <w:b/>
                <w:bCs/>
                <w:color w:val="FFFFFF"/>
                <w:sz w:val="20"/>
                <w:szCs w:val="20"/>
              </w:rPr>
              <w:t xml:space="preserve">Current State (As-Is)</w:t>
            </w:r>
          </w:p>
        </w:tc>
        <w:tc>
          <w:tcPr>
            <w:tcW w:type="dxa" w:w="1700"/>
            <w:tcBorders>
              <w:top w:val="single" w:color="CCCCCC" w:sz="1"/>
              <w:left w:val="single" w:color="CCCCCC" w:sz="1"/>
              <w:bottom w:val="single" w:color="CCCCCC" w:sz="1"/>
              <w:right w:val="single" w:color="CCCCCC" w:sz="1"/>
            </w:tcBorders>
            <w:shd w:color="2A6496" w:val="solid"/>
            <w:tcMar>
              <w:top w:type="dxa" w:w="80"/>
              <w:left w:type="dxa" w:w="80"/>
              <w:bottom w:type="dxa" w:w="80"/>
              <w:right w:type="dxa" w:w="80"/>
            </w:tcMar>
            <w:vAlign w:val="center"/>
          </w:tcPr>
          <w:p>
            <w:pPr>
              <w:spacing w:line="276"/>
              <w:jc w:val="center"/>
            </w:pPr>
            <w:r>
              <w:rPr>
                <w:rFonts w:ascii="Calibri" w:cs="Calibri" w:eastAsia="Calibri" w:hAnsi="Calibri"/>
                <w:b/>
                <w:bCs/>
                <w:color w:val="FFFFFF"/>
                <w:sz w:val="20"/>
                <w:szCs w:val="20"/>
              </w:rPr>
              <w:t xml:space="preserve">Future State (To-Be)</w:t>
            </w:r>
          </w:p>
        </w:tc>
        <w:tc>
          <w:tcPr>
            <w:tcW w:type="dxa" w:w="1700"/>
            <w:tcBorders>
              <w:top w:val="single" w:color="CCCCCC" w:sz="1"/>
              <w:left w:val="single" w:color="CCCCCC" w:sz="1"/>
              <w:bottom w:val="single" w:color="CCCCCC" w:sz="1"/>
              <w:right w:val="single" w:color="CCCCCC" w:sz="1"/>
            </w:tcBorders>
            <w:shd w:color="2A6496" w:val="solid"/>
            <w:tcMar>
              <w:top w:type="dxa" w:w="80"/>
              <w:left w:type="dxa" w:w="80"/>
              <w:bottom w:type="dxa" w:w="80"/>
              <w:right w:type="dxa" w:w="80"/>
            </w:tcMar>
            <w:vAlign w:val="center"/>
          </w:tcPr>
          <w:p>
            <w:pPr>
              <w:spacing w:line="276"/>
              <w:jc w:val="center"/>
            </w:pPr>
            <w:r>
              <w:rPr>
                <w:rFonts w:ascii="Calibri" w:cs="Calibri" w:eastAsia="Calibri" w:hAnsi="Calibri"/>
                <w:b/>
                <w:bCs/>
                <w:color w:val="FFFFFF"/>
                <w:sz w:val="20"/>
                <w:szCs w:val="20"/>
              </w:rPr>
              <w:t xml:space="preserve">Gap Description</w:t>
            </w:r>
          </w:p>
        </w:tc>
        <w:tc>
          <w:tcPr>
            <w:tcW w:type="dxa" w:w="800"/>
            <w:tcBorders>
              <w:top w:val="single" w:color="CCCCCC" w:sz="1"/>
              <w:left w:val="single" w:color="CCCCCC" w:sz="1"/>
              <w:bottom w:val="single" w:color="CCCCCC" w:sz="1"/>
              <w:right w:val="single" w:color="CCCCCC" w:sz="1"/>
            </w:tcBorders>
            <w:shd w:color="2A6496" w:val="solid"/>
            <w:tcMar>
              <w:top w:type="dxa" w:w="80"/>
              <w:left w:type="dxa" w:w="80"/>
              <w:bottom w:type="dxa" w:w="80"/>
              <w:right w:type="dxa" w:w="80"/>
            </w:tcMar>
            <w:vAlign w:val="center"/>
          </w:tcPr>
          <w:p>
            <w:pPr>
              <w:spacing w:line="276"/>
              <w:jc w:val="center"/>
            </w:pPr>
            <w:r>
              <w:rPr>
                <w:rFonts w:ascii="Calibri" w:cs="Calibri" w:eastAsia="Calibri" w:hAnsi="Calibri"/>
                <w:b/>
                <w:bCs/>
                <w:color w:val="FFFFFF"/>
                <w:sz w:val="20"/>
                <w:szCs w:val="20"/>
              </w:rPr>
              <w:t xml:space="preserve">Priority</w:t>
            </w:r>
          </w:p>
        </w:tc>
        <w:tc>
          <w:tcPr>
            <w:tcW w:type="dxa" w:w="2706"/>
            <w:tcBorders>
              <w:top w:val="single" w:color="CCCCCC" w:sz="1"/>
              <w:left w:val="single" w:color="CCCCCC" w:sz="1"/>
              <w:bottom w:val="single" w:color="CCCCCC" w:sz="1"/>
              <w:right w:val="single" w:color="CCCCCC" w:sz="1"/>
            </w:tcBorders>
            <w:shd w:color="2A6496" w:val="solid"/>
            <w:tcMar>
              <w:top w:type="dxa" w:w="80"/>
              <w:left w:type="dxa" w:w="80"/>
              <w:bottom w:type="dxa" w:w="80"/>
              <w:right w:type="dxa" w:w="80"/>
            </w:tcMar>
            <w:vAlign w:val="center"/>
          </w:tcPr>
          <w:p>
            <w:pPr>
              <w:spacing w:line="276"/>
              <w:jc w:val="center"/>
            </w:pPr>
            <w:r>
              <w:rPr>
                <w:rFonts w:ascii="Calibri" w:cs="Calibri" w:eastAsia="Calibri" w:hAnsi="Calibri"/>
                <w:b/>
                <w:bCs/>
                <w:color w:val="FFFFFF"/>
                <w:sz w:val="20"/>
                <w:szCs w:val="20"/>
              </w:rPr>
              <w:t xml:space="preserve">Recommendation</w:t>
            </w:r>
          </w:p>
        </w:tc>
      </w:tr>
      <w:tr>
        <w:tc>
          <w:tcPr>
            <w:tcW w:type="dxa" w:w="13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Application Process</w:t>
            </w:r>
          </w:p>
        </w:tc>
        <w:tc>
          <w:tcPr>
            <w:tcW w:type="dxa" w:w="17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Paper forms at partner stores; manual data entry into Excel; no application tracking</w:t>
            </w:r>
          </w:p>
        </w:tc>
        <w:tc>
          <w:tcPr>
            <w:tcW w:type="dxa" w:w="17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Multi-channel digital submission (mobile, web, POS) with guided wizard and real-time status tracking</w:t>
            </w:r>
          </w:p>
        </w:tc>
        <w:tc>
          <w:tcPr>
            <w:tcW w:type="dxa" w:w="17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No digital application channel; high error rate from manual data entry; no visibility into application pipeline</w:t>
            </w:r>
          </w:p>
        </w:tc>
        <w:tc>
          <w:tcPr>
            <w:tcW w:type="dxa" w:w="8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High</w:t>
            </w:r>
          </w:p>
        </w:tc>
        <w:tc>
          <w:tcPr>
            <w:tcW w:type="dxa" w:w="2706"/>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Deploy online application portal with mobile app integration and real-time status tracking</w:t>
            </w:r>
          </w:p>
        </w:tc>
      </w:tr>
      <w:tr>
        <w:tc>
          <w:tcPr>
            <w:tcW w:type="dxa" w:w="13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Credit Underwriting</w:t>
            </w:r>
          </w:p>
        </w:tc>
        <w:tc>
          <w:tcPr>
            <w:tcW w:type="dxa" w:w="17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Analysts manually review each application; subjective assessment based on experience; no standardized model</w:t>
            </w:r>
          </w:p>
        </w:tc>
        <w:tc>
          <w:tcPr>
            <w:tcW w:type="dxa" w:w="17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Automated multi-factor scoring engine with configurable weights; pre-screening and fraud detection</w:t>
            </w:r>
          </w:p>
        </w:tc>
        <w:tc>
          <w:tcPr>
            <w:tcW w:type="dxa" w:w="17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Inconsistent underwriting decisions; no standardization; slow processing; high dependency on individual analysts</w:t>
            </w:r>
          </w:p>
        </w:tc>
        <w:tc>
          <w:tcPr>
            <w:tcW w:type="dxa" w:w="8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High</w:t>
            </w:r>
          </w:p>
        </w:tc>
        <w:tc>
          <w:tcPr>
            <w:tcW w:type="dxa" w:w="2706"/>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Implement automated scoring engine with 5-factor model and configurable decision rules</w:t>
            </w:r>
          </w:p>
        </w:tc>
      </w:tr>
      <w:tr>
        <w:tc>
          <w:tcPr>
            <w:tcW w:type="dxa" w:w="13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Approval Workflow</w:t>
            </w:r>
          </w:p>
        </w:tc>
        <w:tc>
          <w:tcPr>
            <w:tcW w:type="dxa" w:w="17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Weekly credit committee meetings for all decisions; physical signature required; paper-based approval memos</w:t>
            </w:r>
          </w:p>
        </w:tc>
        <w:tc>
          <w:tcPr>
            <w:tcW w:type="dxa" w:w="17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Automated decision engine with auto-approve/reject; digital manual review queue with analyst workbench</w:t>
            </w:r>
          </w:p>
        </w:tc>
        <w:tc>
          <w:tcPr>
            <w:tcW w:type="dxa" w:w="17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Committee bottleneck causing 5-7 day delays; no priority handling; paper trail management overhead</w:t>
            </w:r>
          </w:p>
        </w:tc>
        <w:tc>
          <w:tcPr>
            <w:tcW w:type="dxa" w:w="8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High</w:t>
            </w:r>
          </w:p>
        </w:tc>
        <w:tc>
          <w:tcPr>
            <w:tcW w:type="dxa" w:w="2706"/>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Deploy automated decision engine with digital review queue and committee override capability</w:t>
            </w:r>
          </w:p>
        </w:tc>
      </w:tr>
      <w:tr>
        <w:tc>
          <w:tcPr>
            <w:tcW w:type="dxa" w:w="13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Loan Disbursement</w:t>
            </w:r>
          </w:p>
        </w:tc>
        <w:tc>
          <w:tcPr>
            <w:tcW w:type="dxa" w:w="17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Manual bank transfer requests via email to finance; manual reconciliation; no tracking of disbursement status</w:t>
            </w:r>
          </w:p>
        </w:tc>
        <w:tc>
          <w:tcPr>
            <w:tcW w:type="dxa" w:w="17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Automated disbursement via bank API with real-time status tracking and automatic reconciliation</w:t>
            </w:r>
          </w:p>
        </w:tc>
        <w:tc>
          <w:tcPr>
            <w:tcW w:type="dxa" w:w="17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Manual process with delays; reconciliation errors; no real-time visibility into disbursement status</w:t>
            </w:r>
          </w:p>
        </w:tc>
        <w:tc>
          <w:tcPr>
            <w:tcW w:type="dxa" w:w="8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High</w:t>
            </w:r>
          </w:p>
        </w:tc>
        <w:tc>
          <w:tcPr>
            <w:tcW w:type="dxa" w:w="2706"/>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Integrate with bank API for automated disbursement initiation and status tracking</w:t>
            </w:r>
          </w:p>
        </w:tc>
      </w:tr>
      <w:tr>
        <w:tc>
          <w:tcPr>
            <w:tcW w:type="dxa" w:w="13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Repayment Tracking</w:t>
            </w:r>
          </w:p>
        </w:tc>
        <w:tc>
          <w:tcPr>
            <w:tcW w:type="dxa" w:w="17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Excel spreadsheets tracking payment due dates; manual tick-off when payments received; no automated alerts</w:t>
            </w:r>
          </w:p>
        </w:tc>
        <w:tc>
          <w:tcPr>
            <w:tcW w:type="dxa" w:w="17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Automated schedule generation with payment tracking, reminders, and multi-channel payment collection</w:t>
            </w:r>
          </w:p>
        </w:tc>
        <w:tc>
          <w:tcPr>
            <w:tcW w:type="dxa" w:w="17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No automated tracking; missed payments go unnoticed; manual reconciliation is error-prone and time-consuming</w:t>
            </w:r>
          </w:p>
        </w:tc>
        <w:tc>
          <w:tcPr>
            <w:tcW w:type="dxa" w:w="8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High</w:t>
            </w:r>
          </w:p>
        </w:tc>
        <w:tc>
          <w:tcPr>
            <w:tcW w:type="dxa" w:w="2706"/>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Build automated repayment management with schedule generation, reminders, and payment matching</w:t>
            </w:r>
          </w:p>
        </w:tc>
      </w:tr>
      <w:tr>
        <w:tc>
          <w:tcPr>
            <w:tcW w:type="dxa" w:w="13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Collection Management</w:t>
            </w:r>
          </w:p>
        </w:tc>
        <w:tc>
          <w:tcPr>
            <w:tcW w:type="dxa" w:w="17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Ad-hoc phone calls by sales agents; no escalation process; no tracking of collection activities</w:t>
            </w:r>
          </w:p>
        </w:tc>
        <w:tc>
          <w:tcPr>
            <w:tcW w:type="dxa" w:w="17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Graduated collection workflow with automated stages, task assignment, SLA tracking, and escalation</w:t>
            </w:r>
          </w:p>
        </w:tc>
        <w:tc>
          <w:tcPr>
            <w:tcW w:type="dxa" w:w="17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No structured collection process; inconsistent follow-up; no performance measurement; high write-off risk</w:t>
            </w:r>
          </w:p>
        </w:tc>
        <w:tc>
          <w:tcPr>
            <w:tcW w:type="dxa" w:w="8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High</w:t>
            </w:r>
          </w:p>
        </w:tc>
        <w:tc>
          <w:tcPr>
            <w:tcW w:type="dxa" w:w="2706"/>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Implement automated collection workflow with stage-based escalation and agent performance tracking</w:t>
            </w:r>
          </w:p>
        </w:tc>
      </w:tr>
      <w:tr>
        <w:tc>
          <w:tcPr>
            <w:tcW w:type="dxa" w:w="13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Cross-Department Coordination</w:t>
            </w:r>
          </w:p>
        </w:tc>
        <w:tc>
          <w:tcPr>
            <w:tcW w:type="dxa" w:w="17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Email and WhatsApp communication between departments; no shared system; information silos</w:t>
            </w:r>
          </w:p>
        </w:tc>
        <w:tc>
          <w:tcPr>
            <w:tcW w:type="dxa" w:w="17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Unified platform with shared case view, event-driven notifications, cross-functional task management</w:t>
            </w:r>
          </w:p>
        </w:tc>
        <w:tc>
          <w:tcPr>
            <w:tcW w:type="dxa" w:w="17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Departments work in silos; information lost in email threads; no shared visibility; duplicate efforts</w:t>
            </w:r>
          </w:p>
        </w:tc>
        <w:tc>
          <w:tcPr>
            <w:tcW w:type="dxa" w:w="8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High</w:t>
            </w:r>
          </w:p>
        </w:tc>
        <w:tc>
          <w:tcPr>
            <w:tcW w:type="dxa" w:w="2706"/>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Deploy unified credit lifecycle platform with shared views and event-driven coordination</w:t>
            </w:r>
          </w:p>
        </w:tc>
      </w:tr>
      <w:tr>
        <w:tc>
          <w:tcPr>
            <w:tcW w:type="dxa" w:w="13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Customer Communication</w:t>
            </w:r>
          </w:p>
        </w:tc>
        <w:tc>
          <w:tcPr>
            <w:tcW w:type="dxa" w:w="17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Phone calls by agents; inconsistent messaging; no delivery tracking; no self-service capability</w:t>
            </w:r>
          </w:p>
        </w:tc>
        <w:tc>
          <w:tcPr>
            <w:tcW w:type="dxa" w:w="17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Automated multi-channel notifications (SMS, email, push) with self-service mobile app</w:t>
            </w:r>
          </w:p>
        </w:tc>
        <w:tc>
          <w:tcPr>
            <w:tcW w:type="dxa" w:w="17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Slow and inconsistent communication; no delivery confirmation; customer cannot check status independently</w:t>
            </w:r>
          </w:p>
        </w:tc>
        <w:tc>
          <w:tcPr>
            <w:tcW w:type="dxa" w:w="8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Medium</w:t>
            </w:r>
          </w:p>
        </w:tc>
        <w:tc>
          <w:tcPr>
            <w:tcW w:type="dxa" w:w="2706"/>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Implement automated notification service and customer self-service portal in mobile app</w:t>
            </w:r>
          </w:p>
        </w:tc>
      </w:tr>
      <w:tr>
        <w:tc>
          <w:tcPr>
            <w:tcW w:type="dxa" w:w="13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Reporting &amp; Analytics</w:t>
            </w:r>
          </w:p>
        </w:tc>
        <w:tc>
          <w:tcPr>
            <w:tcW w:type="dxa" w:w="17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Manually compiled monthly Excel reports; no real-time data; limited KPI tracking</w:t>
            </w:r>
          </w:p>
        </w:tc>
        <w:tc>
          <w:tcPr>
            <w:tcW w:type="dxa" w:w="17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Real-time analytics dashboards with customizable KPIs, trend analysis, and automated report generation</w:t>
            </w:r>
          </w:p>
        </w:tc>
        <w:tc>
          <w:tcPr>
            <w:tcW w:type="dxa" w:w="17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No real-time visibility; delayed reporting; limited analysis capability; management decisions based on stale data</w:t>
            </w:r>
          </w:p>
        </w:tc>
        <w:tc>
          <w:tcPr>
            <w:tcW w:type="dxa" w:w="8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Medium</w:t>
            </w:r>
          </w:p>
        </w:tc>
        <w:tc>
          <w:tcPr>
            <w:tcW w:type="dxa" w:w="2706"/>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Build analytics platform with real-time dashboards, KPI tracking, and automated reporting</w:t>
            </w:r>
          </w:p>
        </w:tc>
      </w:tr>
      <w:tr>
        <w:tc>
          <w:tcPr>
            <w:tcW w:type="dxa" w:w="13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Compliance &amp; Audit</w:t>
            </w:r>
          </w:p>
        </w:tc>
        <w:tc>
          <w:tcPr>
            <w:tcW w:type="dxa" w:w="17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Physical paper files stored in cabinets; manual retrieval for audits; no centralized audit trail</w:t>
            </w:r>
          </w:p>
        </w:tc>
        <w:tc>
          <w:tcPr>
            <w:tcW w:type="dxa" w:w="17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Digital audit trail with full lifecycle history; automated compliance reporting; 7-year retention</w:t>
            </w:r>
          </w:p>
        </w:tc>
        <w:tc>
          <w:tcPr>
            <w:tcW w:type="dxa" w:w="17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Difficult audit preparation; risk of missing records; no proactive compliance monitoring</w:t>
            </w:r>
          </w:p>
        </w:tc>
        <w:tc>
          <w:tcPr>
            <w:tcW w:type="dxa" w:w="8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Medium</w:t>
            </w:r>
          </w:p>
        </w:tc>
        <w:tc>
          <w:tcPr>
            <w:tcW w:type="dxa" w:w="2706"/>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Implement comprehensive digital audit logging with compliance reporting and retention management</w:t>
            </w:r>
          </w:p>
        </w:tc>
      </w:tr>
    </w:tbl>
    <w:p>
      <w:r>
        <w:br w:type="page"/>
      </w:r>
    </w:p>
    <w:p>
      <w:pPr>
        <w:spacing w:after="200" w:before="400" w:line="276"/>
      </w:pPr>
      <w:r>
        <w:rPr>
          <w:rFonts w:ascii="Calibri" w:cs="Calibri" w:eastAsia="Calibri" w:hAnsi="Calibri"/>
          <w:b/>
          <w:bCs/>
          <w:color w:val="2A6496"/>
          <w:sz w:val="32"/>
          <w:szCs w:val="32"/>
        </w:rPr>
        <w:t xml:space="preserve">4. Priority Summary &amp; Roadmap</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gridCol w:w="100"/>
        <w:gridCol w:w="100"/>
      </w:tblGrid>
      <w:tr>
        <w:trPr>
          <w:tblHeader/>
        </w:trPr>
        <w:tc>
          <w:tcPr>
            <w:tcW w:type="dxa" w:w="1200"/>
            <w:tcBorders>
              <w:top w:val="single" w:color="CCCCCC" w:sz="1"/>
              <w:left w:val="single" w:color="CCCCCC" w:sz="1"/>
              <w:bottom w:val="single" w:color="CCCCCC" w:sz="1"/>
              <w:right w:val="single" w:color="CCCCCC" w:sz="1"/>
            </w:tcBorders>
            <w:shd w:color="2A6496" w:val="solid"/>
            <w:tcMar>
              <w:top w:type="dxa" w:w="80"/>
              <w:left w:type="dxa" w:w="80"/>
              <w:bottom w:type="dxa" w:w="80"/>
              <w:right w:type="dxa" w:w="80"/>
            </w:tcMar>
            <w:vAlign w:val="center"/>
          </w:tcPr>
          <w:p>
            <w:pPr>
              <w:spacing w:line="276"/>
              <w:jc w:val="center"/>
            </w:pPr>
            <w:r>
              <w:rPr>
                <w:rFonts w:ascii="Calibri" w:cs="Calibri" w:eastAsia="Calibri" w:hAnsi="Calibri"/>
                <w:b/>
                <w:bCs/>
                <w:color w:val="FFFFFF"/>
                <w:sz w:val="20"/>
                <w:szCs w:val="20"/>
              </w:rPr>
              <w:t xml:space="preserve">Priority</w:t>
            </w:r>
          </w:p>
        </w:tc>
        <w:tc>
          <w:tcPr>
            <w:tcW w:type="dxa" w:w="800"/>
            <w:tcBorders>
              <w:top w:val="single" w:color="CCCCCC" w:sz="1"/>
              <w:left w:val="single" w:color="CCCCCC" w:sz="1"/>
              <w:bottom w:val="single" w:color="CCCCCC" w:sz="1"/>
              <w:right w:val="single" w:color="CCCCCC" w:sz="1"/>
            </w:tcBorders>
            <w:shd w:color="2A6496" w:val="solid"/>
            <w:tcMar>
              <w:top w:type="dxa" w:w="80"/>
              <w:left w:type="dxa" w:w="80"/>
              <w:bottom w:type="dxa" w:w="80"/>
              <w:right w:type="dxa" w:w="80"/>
            </w:tcMar>
            <w:vAlign w:val="center"/>
          </w:tcPr>
          <w:p>
            <w:pPr>
              <w:spacing w:line="276"/>
              <w:jc w:val="center"/>
            </w:pPr>
            <w:r>
              <w:rPr>
                <w:rFonts w:ascii="Calibri" w:cs="Calibri" w:eastAsia="Calibri" w:hAnsi="Calibri"/>
                <w:b/>
                <w:bCs/>
                <w:color w:val="FFFFFF"/>
                <w:sz w:val="20"/>
                <w:szCs w:val="20"/>
              </w:rPr>
              <w:t xml:space="preserve">Count</w:t>
            </w:r>
          </w:p>
        </w:tc>
        <w:tc>
          <w:tcPr>
            <w:tcW w:type="dxa" w:w="3400"/>
            <w:tcBorders>
              <w:top w:val="single" w:color="CCCCCC" w:sz="1"/>
              <w:left w:val="single" w:color="CCCCCC" w:sz="1"/>
              <w:bottom w:val="single" w:color="CCCCCC" w:sz="1"/>
              <w:right w:val="single" w:color="CCCCCC" w:sz="1"/>
            </w:tcBorders>
            <w:shd w:color="2A6496" w:val="solid"/>
            <w:tcMar>
              <w:top w:type="dxa" w:w="80"/>
              <w:left w:type="dxa" w:w="80"/>
              <w:bottom w:type="dxa" w:w="80"/>
              <w:right w:type="dxa" w:w="80"/>
            </w:tcMar>
            <w:vAlign w:val="center"/>
          </w:tcPr>
          <w:p>
            <w:pPr>
              <w:spacing w:line="276"/>
              <w:jc w:val="center"/>
            </w:pPr>
            <w:r>
              <w:rPr>
                <w:rFonts w:ascii="Calibri" w:cs="Calibri" w:eastAsia="Calibri" w:hAnsi="Calibri"/>
                <w:b/>
                <w:bCs/>
                <w:color w:val="FFFFFF"/>
                <w:sz w:val="20"/>
                <w:szCs w:val="20"/>
              </w:rPr>
              <w:t xml:space="preserve">Areas</w:t>
            </w:r>
          </w:p>
        </w:tc>
        <w:tc>
          <w:tcPr>
            <w:tcW w:type="dxa" w:w="2000"/>
            <w:tcBorders>
              <w:top w:val="single" w:color="CCCCCC" w:sz="1"/>
              <w:left w:val="single" w:color="CCCCCC" w:sz="1"/>
              <w:bottom w:val="single" w:color="CCCCCC" w:sz="1"/>
              <w:right w:val="single" w:color="CCCCCC" w:sz="1"/>
            </w:tcBorders>
            <w:shd w:color="2A6496" w:val="solid"/>
            <w:tcMar>
              <w:top w:type="dxa" w:w="80"/>
              <w:left w:type="dxa" w:w="80"/>
              <w:bottom w:type="dxa" w:w="80"/>
              <w:right w:type="dxa" w:w="80"/>
            </w:tcMar>
            <w:vAlign w:val="center"/>
          </w:tcPr>
          <w:p>
            <w:pPr>
              <w:spacing w:line="276"/>
              <w:jc w:val="center"/>
            </w:pPr>
            <w:r>
              <w:rPr>
                <w:rFonts w:ascii="Calibri" w:cs="Calibri" w:eastAsia="Calibri" w:hAnsi="Calibri"/>
                <w:b/>
                <w:bCs/>
                <w:color w:val="FFFFFF"/>
                <w:sz w:val="20"/>
                <w:szCs w:val="20"/>
              </w:rPr>
              <w:t xml:space="preserve">Implementation Phase</w:t>
            </w:r>
          </w:p>
        </w:tc>
        <w:tc>
          <w:tcPr>
            <w:tcW w:type="dxa" w:w="2506"/>
            <w:tcBorders>
              <w:top w:val="single" w:color="CCCCCC" w:sz="1"/>
              <w:left w:val="single" w:color="CCCCCC" w:sz="1"/>
              <w:bottom w:val="single" w:color="CCCCCC" w:sz="1"/>
              <w:right w:val="single" w:color="CCCCCC" w:sz="1"/>
            </w:tcBorders>
            <w:shd w:color="2A6496" w:val="solid"/>
            <w:tcMar>
              <w:top w:type="dxa" w:w="80"/>
              <w:left w:type="dxa" w:w="80"/>
              <w:bottom w:type="dxa" w:w="80"/>
              <w:right w:type="dxa" w:w="80"/>
            </w:tcMar>
            <w:vAlign w:val="center"/>
          </w:tcPr>
          <w:p>
            <w:pPr>
              <w:spacing w:line="276"/>
              <w:jc w:val="center"/>
            </w:pPr>
            <w:r>
              <w:rPr>
                <w:rFonts w:ascii="Calibri" w:cs="Calibri" w:eastAsia="Calibri" w:hAnsi="Calibri"/>
                <w:b/>
                <w:bCs/>
                <w:color w:val="FFFFFF"/>
                <w:sz w:val="20"/>
                <w:szCs w:val="20"/>
              </w:rPr>
              <w:t xml:space="preserve">Timeline</w:t>
            </w:r>
          </w:p>
        </w:tc>
      </w:tr>
      <w:tr>
        <w:tc>
          <w:tcPr>
            <w:tcW w:type="dxa" w:w="12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High</w:t>
            </w:r>
          </w:p>
        </w:tc>
        <w:tc>
          <w:tcPr>
            <w:tcW w:type="dxa" w:w="8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7</w:t>
            </w:r>
          </w:p>
        </w:tc>
        <w:tc>
          <w:tcPr>
            <w:tcW w:type="dxa" w:w="34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Application, Underwriting, Approval, Disbursement, Repayment, Collection, Coordination</w:t>
            </w:r>
          </w:p>
        </w:tc>
        <w:tc>
          <w:tcPr>
            <w:tcW w:type="dxa" w:w="20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Phase 1: Core Platform</w:t>
            </w:r>
          </w:p>
        </w:tc>
        <w:tc>
          <w:tcPr>
            <w:tcW w:type="dxa" w:w="2506"/>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Q1-Q2 2025</w:t>
            </w:r>
          </w:p>
        </w:tc>
      </w:tr>
      <w:tr>
        <w:tc>
          <w:tcPr>
            <w:tcW w:type="dxa" w:w="12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Medium</w:t>
            </w:r>
          </w:p>
        </w:tc>
        <w:tc>
          <w:tcPr>
            <w:tcW w:type="dxa" w:w="8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3</w:t>
            </w:r>
          </w:p>
        </w:tc>
        <w:tc>
          <w:tcPr>
            <w:tcW w:type="dxa" w:w="34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Customer Communication, Reporting, Compliance</w:t>
            </w:r>
          </w:p>
        </w:tc>
        <w:tc>
          <w:tcPr>
            <w:tcW w:type="dxa" w:w="20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Phase 2: Enhancement</w:t>
            </w:r>
          </w:p>
        </w:tc>
        <w:tc>
          <w:tcPr>
            <w:tcW w:type="dxa" w:w="2506"/>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Q3 2025</w:t>
            </w:r>
          </w:p>
        </w:tc>
      </w:tr>
      <w:tr>
        <w:tc>
          <w:tcPr>
            <w:tcW w:type="dxa" w:w="12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Low</w:t>
            </w:r>
          </w:p>
        </w:tc>
        <w:tc>
          <w:tcPr>
            <w:tcW w:type="dxa" w:w="8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0</w:t>
            </w:r>
          </w:p>
        </w:tc>
        <w:tc>
          <w:tcPr>
            <w:tcW w:type="dxa" w:w="34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w:t>
            </w:r>
          </w:p>
        </w:tc>
        <w:tc>
          <w:tcPr>
            <w:tcW w:type="dxa" w:w="20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w:t>
            </w:r>
          </w:p>
        </w:tc>
        <w:tc>
          <w:tcPr>
            <w:tcW w:type="dxa" w:w="2506"/>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w:t>
            </w:r>
          </w:p>
        </w:tc>
      </w:tr>
    </w:tbl>
    <w:p>
      <w:pPr>
        <w:spacing w:after="150" w:before="300" w:line="276"/>
      </w:pPr>
      <w:r>
        <w:rPr>
          <w:rFonts w:ascii="Calibri" w:cs="Calibri" w:eastAsia="Calibri" w:hAnsi="Calibri"/>
          <w:b/>
          <w:bCs/>
          <w:color w:val="1B3A5C"/>
          <w:sz w:val="26"/>
          <w:szCs w:val="26"/>
        </w:rPr>
        <w:t xml:space="preserve">4.1 Phase 1: Core Platform (Q1-Q2 2025)</w:t>
      </w:r>
    </w:p>
    <w:p>
      <w:pPr>
        <w:spacing w:after="120" w:line="276"/>
      </w:pPr>
      <w:r>
        <w:rPr>
          <w:rFonts w:ascii="Calibri" w:cs="Calibri" w:eastAsia="Calibri" w:hAnsi="Calibri"/>
          <w:color w:val="333333"/>
          <w:sz w:val="21"/>
          <w:szCs w:val="21"/>
        </w:rPr>
        <w:t xml:space="preserve">The core platform phase addresses all high-priority gaps with the following deliverables:</w:t>
      </w:r>
    </w:p>
    <w:p>
      <w:pPr>
        <w:spacing w:after="100" w:line="276"/>
        <w:ind w:left="360"/>
      </w:pPr>
      <w:r>
        <w:rPr>
          <w:rFonts w:ascii="Calibri" w:cs="Calibri" w:eastAsia="Calibri" w:hAnsi="Calibri"/>
          <w:b/>
          <w:bCs/>
          <w:color w:val="2A6496"/>
          <w:sz w:val="21"/>
          <w:szCs w:val="21"/>
        </w:rPr>
        <w:t xml:space="preserve">1.  </w:t>
      </w:r>
      <w:r>
        <w:rPr>
          <w:rFonts w:ascii="Calibri" w:cs="Calibri" w:eastAsia="Calibri" w:hAnsi="Calibri"/>
          <w:color w:val="333333"/>
          <w:sz w:val="21"/>
          <w:szCs w:val="21"/>
        </w:rPr>
        <w:t xml:space="preserve">Digital Application Portal: Multi-channel submission with guided wizard (Month 1-2).</w:t>
      </w:r>
    </w:p>
    <w:p>
      <w:pPr>
        <w:spacing w:after="100" w:line="276"/>
        <w:ind w:left="360"/>
      </w:pPr>
      <w:r>
        <w:rPr>
          <w:rFonts w:ascii="Calibri" w:cs="Calibri" w:eastAsia="Calibri" w:hAnsi="Calibri"/>
          <w:b/>
          <w:bCs/>
          <w:color w:val="2A6496"/>
          <w:sz w:val="21"/>
          <w:szCs w:val="21"/>
        </w:rPr>
        <w:t xml:space="preserve">2.  </w:t>
      </w:r>
      <w:r>
        <w:rPr>
          <w:rFonts w:ascii="Calibri" w:cs="Calibri" w:eastAsia="Calibri" w:hAnsi="Calibri"/>
          <w:color w:val="333333"/>
          <w:sz w:val="21"/>
          <w:szCs w:val="21"/>
        </w:rPr>
        <w:t xml:space="preserve">Credit Scoring Engine: Automated multi-factor scoring with decision automation (Month 2-3).</w:t>
      </w:r>
    </w:p>
    <w:p>
      <w:pPr>
        <w:spacing w:after="100" w:line="276"/>
        <w:ind w:left="360"/>
      </w:pPr>
      <w:r>
        <w:rPr>
          <w:rFonts w:ascii="Calibri" w:cs="Calibri" w:eastAsia="Calibri" w:hAnsi="Calibri"/>
          <w:b/>
          <w:bCs/>
          <w:color w:val="2A6496"/>
          <w:sz w:val="21"/>
          <w:szCs w:val="21"/>
        </w:rPr>
        <w:t xml:space="preserve">3.  </w:t>
      </w:r>
      <w:r>
        <w:rPr>
          <w:rFonts w:ascii="Calibri" w:cs="Calibri" w:eastAsia="Calibri" w:hAnsi="Calibri"/>
          <w:color w:val="333333"/>
          <w:sz w:val="21"/>
          <w:szCs w:val="21"/>
        </w:rPr>
        <w:t xml:space="preserve">Approval Workflow: Digital review queue with analyst workbench (Month 3-4).</w:t>
      </w:r>
    </w:p>
    <w:p>
      <w:pPr>
        <w:spacing w:after="100" w:line="276"/>
        <w:ind w:left="360"/>
      </w:pPr>
      <w:r>
        <w:rPr>
          <w:rFonts w:ascii="Calibri" w:cs="Calibri" w:eastAsia="Calibri" w:hAnsi="Calibri"/>
          <w:b/>
          <w:bCs/>
          <w:color w:val="2A6496"/>
          <w:sz w:val="21"/>
          <w:szCs w:val="21"/>
        </w:rPr>
        <w:t xml:space="preserve">4.  </w:t>
      </w:r>
      <w:r>
        <w:rPr>
          <w:rFonts w:ascii="Calibri" w:cs="Calibri" w:eastAsia="Calibri" w:hAnsi="Calibri"/>
          <w:color w:val="333333"/>
          <w:sz w:val="21"/>
          <w:szCs w:val="21"/>
        </w:rPr>
        <w:t xml:space="preserve">Disbursement Integration: Bank API integration with status tracking (Month 4-5).</w:t>
      </w:r>
    </w:p>
    <w:p>
      <w:pPr>
        <w:spacing w:after="100" w:line="276"/>
        <w:ind w:left="360"/>
      </w:pPr>
      <w:r>
        <w:rPr>
          <w:rFonts w:ascii="Calibri" w:cs="Calibri" w:eastAsia="Calibri" w:hAnsi="Calibri"/>
          <w:b/>
          <w:bCs/>
          <w:color w:val="2A6496"/>
          <w:sz w:val="21"/>
          <w:szCs w:val="21"/>
        </w:rPr>
        <w:t xml:space="preserve">5.  </w:t>
      </w:r>
      <w:r>
        <w:rPr>
          <w:rFonts w:ascii="Calibri" w:cs="Calibri" w:eastAsia="Calibri" w:hAnsi="Calibri"/>
          <w:color w:val="333333"/>
          <w:sz w:val="21"/>
          <w:szCs w:val="21"/>
        </w:rPr>
        <w:t xml:space="preserve">Repayment Management: Schedule generation, tracking, and payment matching (Month 5-6).</w:t>
      </w:r>
    </w:p>
    <w:p>
      <w:pPr>
        <w:spacing w:after="100" w:line="276"/>
        <w:ind w:left="360"/>
      </w:pPr>
      <w:r>
        <w:rPr>
          <w:rFonts w:ascii="Calibri" w:cs="Calibri" w:eastAsia="Calibri" w:hAnsi="Calibri"/>
          <w:b/>
          <w:bCs/>
          <w:color w:val="2A6496"/>
          <w:sz w:val="21"/>
          <w:szCs w:val="21"/>
        </w:rPr>
        <w:t xml:space="preserve">6.  </w:t>
      </w:r>
      <w:r>
        <w:rPr>
          <w:rFonts w:ascii="Calibri" w:cs="Calibri" w:eastAsia="Calibri" w:hAnsi="Calibri"/>
          <w:color w:val="333333"/>
          <w:sz w:val="21"/>
          <w:szCs w:val="21"/>
        </w:rPr>
        <w:t xml:space="preserve">Collection Workflow: Graduated collection stages with task management (Month 5-6).</w:t>
      </w:r>
    </w:p>
    <w:p>
      <w:pPr>
        <w:spacing w:after="100" w:line="276"/>
        <w:ind w:left="360"/>
      </w:pPr>
      <w:r>
        <w:rPr>
          <w:rFonts w:ascii="Calibri" w:cs="Calibri" w:eastAsia="Calibri" w:hAnsi="Calibri"/>
          <w:b/>
          <w:bCs/>
          <w:color w:val="2A6496"/>
          <w:sz w:val="21"/>
          <w:szCs w:val="21"/>
        </w:rPr>
        <w:t xml:space="preserve">7.  </w:t>
      </w:r>
      <w:r>
        <w:rPr>
          <w:rFonts w:ascii="Calibri" w:cs="Calibri" w:eastAsia="Calibri" w:hAnsi="Calibri"/>
          <w:color w:val="333333"/>
          <w:sz w:val="21"/>
          <w:szCs w:val="21"/>
        </w:rPr>
        <w:t xml:space="preserve">Unified Platform: Cross-functional views and event-driven coordination (Month 6).</w:t>
      </w:r>
    </w:p>
    <w:p>
      <w:pPr>
        <w:spacing w:after="150" w:before="300" w:line="276"/>
      </w:pPr>
      <w:r>
        <w:rPr>
          <w:rFonts w:ascii="Calibri" w:cs="Calibri" w:eastAsia="Calibri" w:hAnsi="Calibri"/>
          <w:b/>
          <w:bCs/>
          <w:color w:val="1B3A5C"/>
          <w:sz w:val="26"/>
          <w:szCs w:val="26"/>
        </w:rPr>
        <w:t xml:space="preserve">4.2 Phase 2: Enhancement (Q3 2025)</w:t>
      </w:r>
    </w:p>
    <w:p>
      <w:pPr>
        <w:spacing w:after="120" w:line="276"/>
      </w:pPr>
      <w:r>
        <w:rPr>
          <w:rFonts w:ascii="Calibri" w:cs="Calibri" w:eastAsia="Calibri" w:hAnsi="Calibri"/>
          <w:color w:val="333333"/>
          <w:sz w:val="21"/>
          <w:szCs w:val="21"/>
        </w:rPr>
        <w:t xml:space="preserve">The enhancement phase builds on the core platform with customer-facing and analytical features:</w:t>
      </w:r>
    </w:p>
    <w:p>
      <w:pPr>
        <w:spacing w:after="100" w:line="276"/>
        <w:ind w:left="360"/>
      </w:pPr>
      <w:r>
        <w:rPr>
          <w:rFonts w:ascii="Calibri" w:cs="Calibri" w:eastAsia="Calibri" w:hAnsi="Calibri"/>
          <w:b/>
          <w:bCs/>
          <w:color w:val="2A6496"/>
          <w:sz w:val="21"/>
          <w:szCs w:val="21"/>
        </w:rPr>
        <w:t xml:space="preserve">1.  </w:t>
      </w:r>
      <w:r>
        <w:rPr>
          <w:rFonts w:ascii="Calibri" w:cs="Calibri" w:eastAsia="Calibri" w:hAnsi="Calibri"/>
          <w:color w:val="333333"/>
          <w:sz w:val="21"/>
          <w:szCs w:val="21"/>
        </w:rPr>
        <w:t xml:space="preserve">Automated Notifications: SMS and email service with template management.</w:t>
      </w:r>
    </w:p>
    <w:p>
      <w:pPr>
        <w:spacing w:after="100" w:line="276"/>
        <w:ind w:left="360"/>
      </w:pPr>
      <w:r>
        <w:rPr>
          <w:rFonts w:ascii="Calibri" w:cs="Calibri" w:eastAsia="Calibri" w:hAnsi="Calibri"/>
          <w:b/>
          <w:bCs/>
          <w:color w:val="2A6496"/>
          <w:sz w:val="21"/>
          <w:szCs w:val="21"/>
        </w:rPr>
        <w:t xml:space="preserve">2.  </w:t>
      </w:r>
      <w:r>
        <w:rPr>
          <w:rFonts w:ascii="Calibri" w:cs="Calibri" w:eastAsia="Calibri" w:hAnsi="Calibri"/>
          <w:color w:val="333333"/>
          <w:sz w:val="21"/>
          <w:szCs w:val="21"/>
        </w:rPr>
        <w:t xml:space="preserve">Analytics Dashboards: Real-time KPI monitoring and trend analysis.</w:t>
      </w:r>
    </w:p>
    <w:p>
      <w:pPr>
        <w:spacing w:after="100" w:line="276"/>
        <w:ind w:left="360"/>
      </w:pPr>
      <w:r>
        <w:rPr>
          <w:rFonts w:ascii="Calibri" w:cs="Calibri" w:eastAsia="Calibri" w:hAnsi="Calibri"/>
          <w:b/>
          <w:bCs/>
          <w:color w:val="2A6496"/>
          <w:sz w:val="21"/>
          <w:szCs w:val="21"/>
        </w:rPr>
        <w:t xml:space="preserve">3.  </w:t>
      </w:r>
      <w:r>
        <w:rPr>
          <w:rFonts w:ascii="Calibri" w:cs="Calibri" w:eastAsia="Calibri" w:hAnsi="Calibri"/>
          <w:color w:val="333333"/>
          <w:sz w:val="21"/>
          <w:szCs w:val="21"/>
        </w:rPr>
        <w:t xml:space="preserve">Compliance Module: Automated audit trail and regulatory reporting.</w:t>
      </w:r>
    </w:p>
    <w:p>
      <w:pPr>
        <w:spacing w:after="200" w:before="400" w:line="276"/>
      </w:pPr>
      <w:r>
        <w:rPr>
          <w:rFonts w:ascii="Calibri" w:cs="Calibri" w:eastAsia="Calibri" w:hAnsi="Calibri"/>
          <w:b/>
          <w:bCs/>
          <w:color w:val="2A6496"/>
          <w:sz w:val="32"/>
          <w:szCs w:val="32"/>
        </w:rPr>
        <w:t xml:space="preserve">5. Risk Assessment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gridCol w:w="100"/>
      </w:tblGrid>
      <w:tr>
        <w:trPr>
          <w:tblHeader/>
        </w:trPr>
        <w:tc>
          <w:tcPr>
            <w:tcW w:type="dxa" w:w="2800"/>
            <w:tcBorders>
              <w:top w:val="single" w:color="CCCCCC" w:sz="1"/>
              <w:left w:val="single" w:color="CCCCCC" w:sz="1"/>
              <w:bottom w:val="single" w:color="CCCCCC" w:sz="1"/>
              <w:right w:val="single" w:color="CCCCCC" w:sz="1"/>
            </w:tcBorders>
            <w:shd w:color="2A6496" w:val="solid"/>
            <w:tcMar>
              <w:top w:type="dxa" w:w="80"/>
              <w:left w:type="dxa" w:w="80"/>
              <w:bottom w:type="dxa" w:w="80"/>
              <w:right w:type="dxa" w:w="80"/>
            </w:tcMar>
            <w:vAlign w:val="center"/>
          </w:tcPr>
          <w:p>
            <w:pPr>
              <w:spacing w:line="276"/>
              <w:jc w:val="center"/>
            </w:pPr>
            <w:r>
              <w:rPr>
                <w:rFonts w:ascii="Calibri" w:cs="Calibri" w:eastAsia="Calibri" w:hAnsi="Calibri"/>
                <w:b/>
                <w:bCs/>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color="2A6496" w:val="solid"/>
            <w:tcMar>
              <w:top w:type="dxa" w:w="80"/>
              <w:left w:type="dxa" w:w="80"/>
              <w:bottom w:type="dxa" w:w="80"/>
              <w:right w:type="dxa" w:w="80"/>
            </w:tcMar>
            <w:vAlign w:val="center"/>
          </w:tcPr>
          <w:p>
            <w:pPr>
              <w:spacing w:line="276"/>
              <w:jc w:val="center"/>
            </w:pPr>
            <w:r>
              <w:rPr>
                <w:rFonts w:ascii="Calibri" w:cs="Calibri" w:eastAsia="Calibri" w:hAnsi="Calibri"/>
                <w:b/>
                <w:bCs/>
                <w:color w:val="FFFFFF"/>
                <w:sz w:val="20"/>
                <w:szCs w:val="20"/>
              </w:rPr>
              <w:t xml:space="preserve">Probability</w:t>
            </w:r>
          </w:p>
        </w:tc>
        <w:tc>
          <w:tcPr>
            <w:tcW w:type="dxa" w:w="1000"/>
            <w:tcBorders>
              <w:top w:val="single" w:color="CCCCCC" w:sz="1"/>
              <w:left w:val="single" w:color="CCCCCC" w:sz="1"/>
              <w:bottom w:val="single" w:color="CCCCCC" w:sz="1"/>
              <w:right w:val="single" w:color="CCCCCC" w:sz="1"/>
            </w:tcBorders>
            <w:shd w:color="2A6496" w:val="solid"/>
            <w:tcMar>
              <w:top w:type="dxa" w:w="80"/>
              <w:left w:type="dxa" w:w="80"/>
              <w:bottom w:type="dxa" w:w="80"/>
              <w:right w:type="dxa" w:w="80"/>
            </w:tcMar>
            <w:vAlign w:val="center"/>
          </w:tcPr>
          <w:p>
            <w:pPr>
              <w:spacing w:line="276"/>
              <w:jc w:val="center"/>
            </w:pPr>
            <w:r>
              <w:rPr>
                <w:rFonts w:ascii="Calibri" w:cs="Calibri" w:eastAsia="Calibri" w:hAnsi="Calibri"/>
                <w:b/>
                <w:bCs/>
                <w:color w:val="FFFFFF"/>
                <w:sz w:val="20"/>
                <w:szCs w:val="20"/>
              </w:rPr>
              <w:t xml:space="preserve">Impact</w:t>
            </w:r>
          </w:p>
        </w:tc>
        <w:tc>
          <w:tcPr>
            <w:tcW w:type="dxa" w:w="3906"/>
            <w:tcBorders>
              <w:top w:val="single" w:color="CCCCCC" w:sz="1"/>
              <w:left w:val="single" w:color="CCCCCC" w:sz="1"/>
              <w:bottom w:val="single" w:color="CCCCCC" w:sz="1"/>
              <w:right w:val="single" w:color="CCCCCC" w:sz="1"/>
            </w:tcBorders>
            <w:shd w:color="2A6496" w:val="solid"/>
            <w:tcMar>
              <w:top w:type="dxa" w:w="80"/>
              <w:left w:type="dxa" w:w="80"/>
              <w:bottom w:type="dxa" w:w="80"/>
              <w:right w:type="dxa" w:w="80"/>
            </w:tcMar>
            <w:vAlign w:val="center"/>
          </w:tcPr>
          <w:p>
            <w:pPr>
              <w:spacing w:line="276"/>
              <w:jc w:val="center"/>
            </w:pPr>
            <w:r>
              <w:rPr>
                <w:rFonts w:ascii="Calibri" w:cs="Calibri" w:eastAsia="Calibri" w:hAnsi="Calibri"/>
                <w:b/>
                <w:bCs/>
                <w:color w:val="FFFFFF"/>
                <w:sz w:val="20"/>
                <w:szCs w:val="20"/>
              </w:rPr>
              <w:t xml:space="preserve">Mitigation</w:t>
            </w:r>
          </w:p>
        </w:tc>
      </w:tr>
      <w:tr>
        <w:tc>
          <w:tcPr>
            <w:tcW w:type="dxa" w:w="28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Stakeholder resistance to change</w:t>
            </w:r>
          </w:p>
        </w:tc>
        <w:tc>
          <w:tcPr>
            <w:tcW w:type="dxa" w:w="12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Medium</w:t>
            </w:r>
          </w:p>
        </w:tc>
        <w:tc>
          <w:tcPr>
            <w:tcW w:type="dxa" w:w="10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High</w:t>
            </w:r>
          </w:p>
        </w:tc>
        <w:tc>
          <w:tcPr>
            <w:tcW w:type="dxa" w:w="3906"/>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Early stakeholder engagement; training program; phased rollout</w:t>
            </w:r>
          </w:p>
        </w:tc>
      </w:tr>
      <w:tr>
        <w:tc>
          <w:tcPr>
            <w:tcW w:type="dxa" w:w="28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Integration complexity with banks</w:t>
            </w:r>
          </w:p>
        </w:tc>
        <w:tc>
          <w:tcPr>
            <w:tcW w:type="dxa" w:w="12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Medium</w:t>
            </w:r>
          </w:p>
        </w:tc>
        <w:tc>
          <w:tcPr>
            <w:tcW w:type="dxa" w:w="10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High</w:t>
            </w:r>
          </w:p>
        </w:tc>
        <w:tc>
          <w:tcPr>
            <w:tcW w:type="dxa" w:w="3906"/>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Early API evaluation; fallback manual process; dedicated integration team</w:t>
            </w:r>
          </w:p>
        </w:tc>
      </w:tr>
      <w:tr>
        <w:tc>
          <w:tcPr>
            <w:tcW w:type="dxa" w:w="28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Data quality issues in migration</w:t>
            </w:r>
          </w:p>
        </w:tc>
        <w:tc>
          <w:tcPr>
            <w:tcW w:type="dxa" w:w="12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High</w:t>
            </w:r>
          </w:p>
        </w:tc>
        <w:tc>
          <w:tcPr>
            <w:tcW w:type="dxa" w:w="10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Medium</w:t>
            </w:r>
          </w:p>
        </w:tc>
        <w:tc>
          <w:tcPr>
            <w:tcW w:type="dxa" w:w="3906"/>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Data cleansing before migration; validation rules; parallel run period</w:t>
            </w:r>
          </w:p>
        </w:tc>
      </w:tr>
      <w:tr>
        <w:tc>
          <w:tcPr>
            <w:tcW w:type="dxa" w:w="28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Scoring model accuracy concerns</w:t>
            </w:r>
          </w:p>
        </w:tc>
        <w:tc>
          <w:tcPr>
            <w:tcW w:type="dxa" w:w="12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Medium</w:t>
            </w:r>
          </w:p>
        </w:tc>
        <w:tc>
          <w:tcPr>
            <w:tcW w:type="dxa" w:w="10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High</w:t>
            </w:r>
          </w:p>
        </w:tc>
        <w:tc>
          <w:tcPr>
            <w:tcW w:type="dxa" w:w="3906"/>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Champion-challenger testing; manual review safety net; model monitoring</w:t>
            </w:r>
          </w:p>
        </w:tc>
      </w:tr>
      <w:tr>
        <w:tc>
          <w:tcPr>
            <w:tcW w:type="dxa" w:w="28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Budget overrun</w:t>
            </w:r>
          </w:p>
        </w:tc>
        <w:tc>
          <w:tcPr>
            <w:tcW w:type="dxa" w:w="12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Medium</w:t>
            </w:r>
          </w:p>
        </w:tc>
        <w:tc>
          <w:tcPr>
            <w:tcW w:type="dxa" w:w="10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Medium</w:t>
            </w:r>
          </w:p>
        </w:tc>
        <w:tc>
          <w:tcPr>
            <w:tcW w:type="dxa" w:w="3906"/>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Phased implementation; MVP approach; regular cost tracking</w:t>
            </w:r>
          </w:p>
        </w:tc>
      </w:tr>
      <w:tr>
        <w:tc>
          <w:tcPr>
            <w:tcW w:type="dxa" w:w="28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Vendor dependency for payment gateway</w:t>
            </w:r>
          </w:p>
        </w:tc>
        <w:tc>
          <w:tcPr>
            <w:tcW w:type="dxa" w:w="12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Low</w:t>
            </w:r>
          </w:p>
        </w:tc>
        <w:tc>
          <w:tcPr>
            <w:tcW w:type="dxa" w:w="10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High</w:t>
            </w:r>
          </w:p>
        </w:tc>
        <w:tc>
          <w:tcPr>
            <w:tcW w:type="dxa" w:w="3906"/>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Multi-vendor strategy; abstraction layer for gateway integration</w:t>
            </w:r>
          </w:p>
        </w:tc>
      </w:tr>
      <w:tr>
        <w:tc>
          <w:tcPr>
            <w:tcW w:type="dxa" w:w="28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Regulatory changes during implementation</w:t>
            </w:r>
          </w:p>
        </w:tc>
        <w:tc>
          <w:tcPr>
            <w:tcW w:type="dxa" w:w="12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Low</w:t>
            </w:r>
          </w:p>
        </w:tc>
        <w:tc>
          <w:tcPr>
            <w:tcW w:type="dxa" w:w="10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Medium</w:t>
            </w:r>
          </w:p>
        </w:tc>
        <w:tc>
          <w:tcPr>
            <w:tcW w:type="dxa" w:w="3906"/>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Regulatory monitoring; flexible architecture for rule changes</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Page </w:t>
    </w:r>
    <w:r>
      <w:rPr>
        <w:rFonts w:ascii="Calibri" w:cs="Calibri" w:eastAsia="Calibri" w:hAnsi="Calibri"/>
        <w:color w:val="666666"/>
        <w:sz w:val="18"/>
        <w:szCs w:val="18"/>
      </w:rPr>
      <w:fldChar w:fldCharType="begin"/>
      <w:instrText xml:space="preserve">PAGE</w:instrText>
      <w:fldChar w:fldCharType="separate"/>
      <w:fldChar w:fldCharType="end"/>
    </w:r>
    <w:r>
      <w:rPr>
        <w:rFonts w:ascii="Calibri" w:cs="Calibri" w:eastAsia="Calibri" w:hAnsi="Calibri"/>
        <w:color w:val="666666"/>
        <w:sz w:val="18"/>
        <w:szCs w:val="18"/>
      </w:rPr>
      <w:t xml:space="preserve"> of </w:t>
    </w:r>
    <w:r>
      <w:rPr>
        <w:rFonts w:ascii="Calibri" w:cs="Calibri" w:eastAsia="Calibri" w:hAnsi="Calibri"/>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66666"/>
        <w:sz w:val="18"/>
        <w:szCs w:val="18"/>
      </w:rPr>
      <w:t xml:space="preserve">Embafinans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2026-04-25T08:51:43.134Z</dcterms:created>
  <dcterms:modified xsi:type="dcterms:W3CDTF">2026-04-25T08:51:43.134Z</dcterms:modified>
</cp:coreProperties>
</file>

<file path=docProps/custom.xml><?xml version="1.0" encoding="utf-8"?>
<Properties xmlns="http://schemas.openxmlformats.org/officeDocument/2006/custom-properties" xmlns:vt="http://schemas.openxmlformats.org/officeDocument/2006/docPropsVTypes"/>
</file>