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0" w:lineRule="exact"/>
        <w:jc w:val="left"/>
      </w:pPr>
      <w:r>
        <w:rPr>
          <w:rFonts w:ascii="Calibri" w:hAnsi="Calibri"/>
          <w:b/>
          <w:color w:val="212529"/>
          <w:sz w:val="30"/>
        </w:rPr>
        <w:t>ZAMIR JAMALOV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005A9C"/>
          <w:sz w:val="19"/>
        </w:rPr>
        <w:t>Business Analyst  |  Government Service Design &amp; Multi-Agency Coordination</w:t>
      </w:r>
    </w:p>
    <w:p>
      <w:pPr>
        <w:spacing w:after="80" w:before="0" w:line="260" w:lineRule="exact"/>
        <w:jc w:val="left"/>
      </w:pPr>
      <w:r>
        <w:rPr>
          <w:rFonts w:ascii="Calibri" w:hAnsi="Calibri"/>
          <w:b w:val="0"/>
          <w:color w:val="595959"/>
          <w:sz w:val="18"/>
        </w:rPr>
        <w:t>+994 55 207 7228  |  jamalov.zamir@gmail.com  |  Baku, Azerbaijan</w:t>
      </w:r>
    </w:p>
    <w:p>
      <w:pPr>
        <w:spacing w:after="80" w:before="80"/>
        <w:pBdr>
          <w:bottom w:val="single" w:sz="4" w:space="1" w:color="AAAAAA"/>
        </w:pBdr>
      </w:pPr>
    </w:p>
    <w:p>
      <w:pPr>
        <w:spacing w:after="4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PROFILE SUMMARY</w:t>
      </w:r>
    </w:p>
    <w:p>
      <w:pPr>
        <w:spacing w:after="80" w:before="0" w:line="260" w:lineRule="exact"/>
        <w:jc w:val="left"/>
      </w:pPr>
      <w:r>
        <w:rPr>
          <w:rFonts w:ascii="Calibri" w:hAnsi="Calibri"/>
          <w:b w:val="0"/>
          <w:color w:val="212529"/>
          <w:sz w:val="17"/>
        </w:rPr>
        <w:t>Business Analyst with direct experience in government service consolidation: coordinated 10+ agencies into the single-window Government Payment Portal at the Central Bank and led end-to-end service design for the Labour Market Analysis System at the State Employment Agency. Recently strengthened with fintech experience in API design (Swagger/OpenAPI 3.0), Agile delivery, and production-grade documentation (BRD, FRD, SRS, ToR, SDD). Strong background in ensuring alignment between process architecture and institutional requirements across government organizations.</w:t>
      </w:r>
    </w:p>
    <w:p>
      <w:pPr>
        <w:spacing w:after="80" w:before="80"/>
        <w:pBdr>
          <w:bottom w:val="single" w:sz="4" w:space="1" w:color="AAAAAA"/>
        </w:pBdr>
      </w:pPr>
    </w:p>
    <w:p>
      <w:pPr>
        <w:spacing w:after="4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CORE SKILLS</w:t>
      </w:r>
    </w:p>
    <w:p>
      <w:pPr>
        <w:spacing w:after="20" w:before="0" w:line="260" w:lineRule="exact"/>
        <w:jc w:val="left"/>
      </w:pPr>
      <w:r>
        <w:rPr>
          <w:rFonts w:ascii="Calibri" w:hAnsi="Calibri"/>
          <w:b/>
          <w:color w:val="212529"/>
          <w:sz w:val="17"/>
        </w:rPr>
        <w:t>Service Design &amp; Analysis:</w:t>
      </w:r>
    </w:p>
    <w:p>
      <w:pPr>
        <w:spacing w:after="60" w:before="0" w:line="260" w:lineRule="exact"/>
        <w:jc w:val="left"/>
      </w:pPr>
      <w:r>
        <w:rPr>
          <w:rFonts w:ascii="Calibri" w:hAnsi="Calibri"/>
          <w:b w:val="0"/>
          <w:color w:val="212529"/>
          <w:sz w:val="16"/>
        </w:rPr>
        <w:t>Applied Service Design  |  Service Journey Analysis  |  Citizen-Centered Service Design  |  Multi-Agency Service Coordination  |  As-Is / To-Be Service Analysis  |  SLA / KPI Monitoring  |  Process Digitization</w:t>
      </w:r>
    </w:p>
    <w:p>
      <w:pPr>
        <w:spacing w:after="20" w:before="0" w:line="260" w:lineRule="exact"/>
        <w:jc w:val="left"/>
      </w:pPr>
      <w:r>
        <w:rPr>
          <w:rFonts w:ascii="Calibri" w:hAnsi="Calibri"/>
          <w:b/>
          <w:color w:val="212529"/>
          <w:sz w:val="17"/>
        </w:rPr>
        <w:t>Business Analysis:</w:t>
      </w:r>
    </w:p>
    <w:p>
      <w:pPr>
        <w:spacing w:after="60" w:before="0" w:line="260" w:lineRule="exact"/>
        <w:jc w:val="left"/>
      </w:pPr>
      <w:r>
        <w:rPr>
          <w:rFonts w:ascii="Calibri" w:hAnsi="Calibri"/>
          <w:b w:val="0"/>
          <w:color w:val="212529"/>
          <w:sz w:val="16"/>
        </w:rPr>
        <w:t>BRD / FRD / SRS  |  User Stories &amp; Acceptance Criteria  |  BPMN (As-Is / To-Be)  |  UML &amp; Sequence Diagrams  |  Gap Analysis  |  Stakeholder Interviews  |  Backlog Prioritization (RICE)  |  UAT</w:t>
      </w:r>
    </w:p>
    <w:p>
      <w:pPr>
        <w:spacing w:after="20" w:before="0" w:line="260" w:lineRule="exact"/>
        <w:jc w:val="left"/>
      </w:pPr>
      <w:r>
        <w:rPr>
          <w:rFonts w:ascii="Calibri" w:hAnsi="Calibri"/>
          <w:b/>
          <w:color w:val="212529"/>
          <w:sz w:val="17"/>
        </w:rPr>
        <w:t>Technical:</w:t>
      </w:r>
    </w:p>
    <w:p>
      <w:pPr>
        <w:spacing w:after="60" w:before="0" w:line="260" w:lineRule="exact"/>
        <w:jc w:val="left"/>
      </w:pPr>
      <w:r>
        <w:rPr>
          <w:rFonts w:ascii="Calibri" w:hAnsi="Calibri"/>
          <w:b w:val="0"/>
          <w:color w:val="212529"/>
          <w:sz w:val="16"/>
        </w:rPr>
        <w:t>REST API &amp; JSON  |  Swagger / OpenAPI 3.0  |  SQL &amp; Data Modeling  |  SDLC  |  System Architecture &amp; Integration  |  Data-Driven Analysis  |  Microservice Principles</w:t>
      </w:r>
    </w:p>
    <w:p>
      <w:pPr>
        <w:spacing w:after="20" w:before="0" w:line="260" w:lineRule="exact"/>
        <w:jc w:val="left"/>
      </w:pPr>
      <w:r>
        <w:rPr>
          <w:rFonts w:ascii="Calibri" w:hAnsi="Calibri"/>
          <w:b/>
          <w:color w:val="212529"/>
          <w:sz w:val="17"/>
        </w:rPr>
        <w:t>Process &amp; Tools:</w:t>
      </w:r>
    </w:p>
    <w:p>
      <w:pPr>
        <w:spacing w:after="80" w:before="0" w:line="260" w:lineRule="exact"/>
        <w:jc w:val="left"/>
      </w:pPr>
      <w:r>
        <w:rPr>
          <w:rFonts w:ascii="Calibri" w:hAnsi="Calibri"/>
          <w:b w:val="0"/>
          <w:color w:val="212529"/>
          <w:sz w:val="16"/>
        </w:rPr>
        <w:t>Agile / Scrum  |  Jira  |  Confluence  |  Cross-Functional Coordination  |  Government Stakeholder Management</w:t>
      </w:r>
    </w:p>
    <w:p>
      <w:pPr>
        <w:spacing w:after="80" w:before="80"/>
        <w:pBdr>
          <w:bottom w:val="single" w:sz="4" w:space="1" w:color="AAAAAA"/>
        </w:pBdr>
      </w:pPr>
    </w:p>
    <w:p>
      <w:pPr>
        <w:spacing w:after="8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PROFESSIONAL EXPERIENCE</w:t>
      </w:r>
    </w:p>
    <w:p>
      <w:pPr>
        <w:spacing w:after="20" w:before="0" w:line="260" w:lineRule="exact"/>
        <w:jc w:val="left"/>
      </w:pPr>
      <w:r>
        <w:rPr>
          <w:rFonts w:ascii="Calibri" w:hAnsi="Calibri"/>
          <w:b/>
          <w:color w:val="212529"/>
          <w:sz w:val="18"/>
        </w:rPr>
        <w:t>Embafinans  |  Lead IT Business Analyst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787878"/>
          <w:sz w:val="16"/>
        </w:rPr>
        <w:t>2025 - Present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Leading business analysis for fintech products including BNPL credit scoring, payment gateway integration, and loan tracking dashboard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Authoring BRD, FRD and SRS documents; writing User Stories with Gherkin Acceptance Criteria and maintaining traceability across sprints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Defining REST API specifications in Swagger / OpenAPI 3.0 and coordinating UAT execution with business stakeholders</w:t>
      </w:r>
    </w:p>
    <w:p>
      <w:pPr>
        <w:spacing w:after="20" w:before="80" w:line="260" w:lineRule="exact"/>
        <w:jc w:val="left"/>
      </w:pPr>
      <w:r>
        <w:rPr>
          <w:rFonts w:ascii="Calibri" w:hAnsi="Calibri"/>
          <w:b/>
          <w:color w:val="212529"/>
          <w:sz w:val="18"/>
        </w:rPr>
        <w:t>Kapital Bank / Birbonus  |  IT Business Analyst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787878"/>
          <w:sz w:val="16"/>
        </w:rPr>
        <w:t>2024 - 2025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Designed a customer loyalty bonus system enabling shoppers to earn rewards on purchases and redeem across partner merchants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Conducted stakeholder sessions to define earning rules, eligibility criteria, and partner settlement workflows</w:t>
      </w:r>
    </w:p>
    <w:p>
      <w:pPr>
        <w:spacing w:after="20" w:before="80" w:line="260" w:lineRule="exact"/>
        <w:jc w:val="left"/>
      </w:pPr>
      <w:r>
        <w:rPr>
          <w:rFonts w:ascii="Calibri" w:hAnsi="Calibri"/>
          <w:b/>
          <w:color w:val="212529"/>
          <w:sz w:val="18"/>
        </w:rPr>
        <w:t>Umico  |  Integration Specialist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787878"/>
          <w:sz w:val="16"/>
        </w:rPr>
        <w:t>2022 - 2024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Managed API integration of 25+ partner companies into the Umico ecosystem, defining integration specifications and coordinating technical implementation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Developed backend features using PostgreSQL, resolved L2 production incidents, and supported partner development teams</w:t>
      </w:r>
    </w:p>
    <w:p>
      <w:pPr>
        <w:spacing w:after="20" w:before="80" w:line="260" w:lineRule="exact"/>
        <w:jc w:val="left"/>
      </w:pPr>
      <w:r>
        <w:rPr>
          <w:rFonts w:ascii="Calibri" w:hAnsi="Calibri"/>
          <w:b/>
          <w:color w:val="212529"/>
          <w:sz w:val="18"/>
        </w:rPr>
        <w:t>State Employment Agency  |  Innovation Section Lead &amp; Business Analyst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787878"/>
          <w:sz w:val="16"/>
        </w:rPr>
        <w:t>2021 - 2022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Led the digitization of the Labour and Employment Subsystem (LMAS): analyzed the full citizen life-event service journey from application to result, defined the methodology and end-to-end process architecture, and authored requirements documentation; ensured alignment of new service design with existing service portfolio and institutional structures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Designed a citizen service channel using Telegram bot for real-time application submission, reducing physical office visits and improving accessibility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Built a real-time monitoring dashboard tracking citizen applications, response times (SLA), and service quality indicators (KPI)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Coordinated a 15-member cross-functional project team and managed multi-stakeholder communication across government departments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 xml:space="preserve">Applied life-event based design approach: organized services around the citizen unemployment journey rather than agency structure, ensuring cross-agency service alignment</w:t>
      </w:r>
    </w:p>
    <w:p>
      <w:pPr>
        <w:spacing w:after="20" w:before="80" w:line="260" w:lineRule="exact"/>
        <w:jc w:val="left"/>
      </w:pPr>
      <w:r>
        <w:rPr>
          <w:rFonts w:ascii="Calibri" w:hAnsi="Calibri"/>
          <w:b/>
          <w:color w:val="212529"/>
          <w:sz w:val="18"/>
        </w:rPr>
        <w:t>Central Bank of Azerbaijan  |  Integration Specialist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787878"/>
          <w:sz w:val="16"/>
        </w:rPr>
        <w:t>2007 - 2012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Coordinated the integration of 10+ government organizations into the single-window Government Payment Portal (GPP): defined data exchange requirements and integration specifications for each agency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>Designed the process architecture and interoperability layer for cross-system data exchange between government institutions, enabling automated payment processing at national scale</w:t>
      </w:r>
    </w:p>
    <w:p>
      <w:pPr>
        <w:spacing w:after="30" w:before="0" w:line="250" w:lineRule="exact"/>
        <w:ind w:left="360" w:hanging="216"/>
      </w:pPr>
      <w:r>
        <w:rPr>
          <w:rFonts w:ascii="Calibri" w:hAnsi="Calibri"/>
          <w:color w:val="212529"/>
          <w:sz w:val="18"/>
        </w:rPr>
        <w:t xml:space="preserve">Established standardized data exchange specifications and integration standards across agencies with different technical maturity levels</w:t>
      </w:r>
    </w:p>
    <w:p>
      <w:pPr>
        <w:spacing w:after="80" w:before="80"/>
        <w:pBdr>
          <w:bottom w:val="single" w:sz="4" w:space="1" w:color="AAAAAA"/>
        </w:pBdr>
      </w:pPr>
    </w:p>
    <w:p>
      <w:pPr>
        <w:spacing w:after="4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PROFESSIONAL DEVELOPMENT</w:t>
      </w:r>
    </w:p>
    <w:p>
      <w:pPr>
        <w:spacing w:after="80" w:before="0" w:line="260" w:lineRule="exact"/>
        <w:jc w:val="left"/>
      </w:pPr>
      <w:r>
        <w:rPr>
          <w:rFonts w:ascii="Calibri" w:hAnsi="Calibri"/>
          <w:b w:val="0"/>
          <w:color w:val="212529"/>
          <w:sz w:val="17"/>
        </w:rPr>
        <w:t>Acquired business analysis methodology through practical application across fintech, e-commerce and government digitization projects. Produced BA documentation including BRD, FRD, SRS, User Stories, API Specifications, BPMN process models and UAT plans in real production environments.</w:t>
      </w:r>
    </w:p>
    <w:p>
      <w:pPr>
        <w:spacing w:after="80" w:before="80"/>
        <w:pBdr>
          <w:bottom w:val="single" w:sz="4" w:space="1" w:color="AAAAAA"/>
        </w:pBdr>
      </w:pPr>
    </w:p>
    <w:p>
      <w:pPr>
        <w:spacing w:after="4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ADDITIONAL PROFESSIONAL BACKGROUND</w:t>
      </w:r>
    </w:p>
    <w:p>
      <w:pPr>
        <w:spacing w:after="80" w:before="0" w:line="260" w:lineRule="exact"/>
        <w:jc w:val="left"/>
      </w:pPr>
      <w:r>
        <w:rPr>
          <w:rFonts w:ascii="Calibri" w:hAnsi="Calibri"/>
          <w:b w:val="0"/>
          <w:color w:val="212529"/>
          <w:sz w:val="17"/>
        </w:rPr>
        <w:t>Enterprise system design and implementation experience (2013-2021) across Azerbaijan's banking and public sectors: core banking system architecture and support at Zaminbank; mobile banking system design and development (UMobileBank) at Unibank; banking system modernization at Bank of Baku and Rabita Bank; e-commerce platform backend at Umico; and public service data analytics at ASAN Service, including experience with registry-based data exchange across government agencies. This period built deep understanding of how complex enterprise systems are designed, integrated and maintained at scale.</w:t>
      </w:r>
    </w:p>
    <w:p>
      <w:pPr>
        <w:spacing w:after="80" w:before="80"/>
        <w:pBdr>
          <w:bottom w:val="single" w:sz="4" w:space="1" w:color="AAAAAA"/>
        </w:pBdr>
      </w:pPr>
    </w:p>
    <w:p>
      <w:pPr>
        <w:spacing w:after="4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EDUCATION</w:t>
      </w:r>
    </w:p>
    <w:p>
      <w:pPr>
        <w:spacing w:after="80" w:before="0" w:line="260" w:lineRule="exact"/>
        <w:jc w:val="left"/>
      </w:pPr>
      <w:r>
        <w:rPr>
          <w:rFonts w:ascii="Calibri" w:hAnsi="Calibri"/>
          <w:b w:val="0"/>
          <w:color w:val="212529"/>
          <w:sz w:val="18"/>
        </w:rPr>
        <w:t>Baku State University  -  Bachelor of Science in Applied Mathematics</w:t>
      </w:r>
    </w:p>
    <w:p>
      <w:pPr>
        <w:spacing w:after="40" w:before="0" w:line="260" w:lineRule="exact"/>
        <w:jc w:val="left"/>
      </w:pPr>
      <w:r>
        <w:rPr>
          <w:rFonts w:ascii="Calibri" w:hAnsi="Calibri"/>
          <w:b/>
          <w:color w:val="005A9C"/>
          <w:sz w:val="19"/>
        </w:rPr>
        <w:t>LANGUAGES</w:t>
      </w:r>
    </w:p>
    <w:p>
      <w:pPr>
        <w:spacing w:after="40" w:before="0" w:line="260" w:lineRule="exact"/>
        <w:jc w:val="left"/>
      </w:pPr>
      <w:r>
        <w:rPr>
          <w:rFonts w:ascii="Calibri" w:hAnsi="Calibri"/>
          <w:b w:val="0"/>
          <w:color w:val="212529"/>
          <w:sz w:val="18"/>
        </w:rPr>
        <w:t>Azerbaijani (Native)  |  Russian (Fluent)  |  English (Professional Working Proficiency)</w:t>
      </w:r>
    </w:p>
    <w:sectPr w:rsidR="00FC693F" w:rsidRPr="0006063C" w:rsidSect="00034616">
      <w:pgSz w:w="12240" w:h="15840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