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c>
          <w:tcPr>
            <w:tcW w:type="dxa" w:w="8640"/>
            <w:shd w:fill="00806A" w:val="clear"/>
            <w:tcW w:w="9072" w:type="dxa"/>
          </w:tcPr>
          <w:p>
            <w:pPr>
              <w:spacing w:before="240" w:after="40"/>
              <w:jc w:val="center"/>
            </w:pPr>
            <w:r>
              <w:rPr>
                <w:rFonts w:ascii="Arial" w:hAnsi="Arial"/>
                <w:b w:val="0"/>
                <w:color w:val="B0B8C0"/>
                <w:sz w:val="18"/>
              </w:rPr>
              <w:t>Business Analyst Portfolio</w:t>
            </w:r>
          </w:p>
          <w:p>
            <w:pPr>
              <w:spacing w:before="40" w:after="40"/>
              <w:jc w:val="center"/>
            </w:pPr>
            <w:r>
              <w:rPr>
                <w:rFonts w:ascii="Arial" w:hAnsi="Arial"/>
                <w:b/>
                <w:color w:val="FFFFFF"/>
                <w:sz w:val="48"/>
              </w:rPr>
              <w:t>BA Phase 2 Decision</w:t>
            </w:r>
          </w:p>
          <w:p>
            <w:pPr>
              <w:spacing w:before="40" w:after="40"/>
              <w:jc w:val="center"/>
            </w:pPr>
            <w:r>
              <w:rPr>
                <w:rFonts w:ascii="Arial" w:hAnsi="Arial"/>
                <w:b/>
                <w:color w:val="FFFFFF"/>
                <w:sz w:val="48"/>
              </w:rPr>
              <w:t>Rules</w:t>
            </w:r>
          </w:p>
          <w:p>
            <w:pPr>
              <w:spacing w:before="40" w:after="40"/>
              <w:jc w:val="center"/>
            </w:pPr>
            <w:r>
              <w:rPr>
                <w:rFonts w:ascii="Arial" w:hAnsi="Arial"/>
                <w:b w:val="0"/>
                <w:color w:val="B0B8C0"/>
                <w:sz w:val="24"/>
              </w:rPr>
              <w:t>Quick Reference Guide for Interview Preparation</w:t>
            </w:r>
          </w:p>
          <w:p>
            <w:pPr>
              <w:spacing w:before="40" w:after="40"/>
              <w:jc w:val="center"/>
            </w:pPr>
            <w:r>
              <w:rPr>
                <w:rFonts w:ascii="Arial" w:hAnsi="Arial"/>
                <w:b w:val="0"/>
                <w:color w:val="90989F"/>
                <w:sz w:val="24"/>
              </w:rPr>
              <w:t>Project: E-Commerce Return Management System</w:t>
            </w:r>
          </w:p>
          <w:p>
            <w:pPr>
              <w:spacing w:before="40" w:after="40"/>
              <w:jc w:val="center"/>
            </w:pPr>
            <w:r>
              <w:rPr>
                <w:rFonts w:ascii="Arial" w:hAnsi="Arial"/>
                <w:b w:val="0"/>
                <w:color w:val="90989F"/>
                <w:sz w:val="24"/>
              </w:rPr>
              <w:t>Company: Kontakt Home</w:t>
            </w:r>
          </w:p>
          <w:p>
            <w:pPr>
              <w:spacing w:before="40" w:after="40"/>
              <w:jc w:val="center"/>
            </w:pPr>
            <w:r>
              <w:rPr>
                <w:rFonts w:ascii="Arial" w:hAnsi="Arial"/>
                <w:b w:val="0"/>
                <w:color w:val="687078"/>
                <w:sz w:val="16"/>
              </w:rPr>
              <w:t>BA: Zamir Jamalov</w:t>
            </w:r>
          </w:p>
        </w:tc>
      </w:tr>
    </w:tbl>
    <w:p/>
    <w:p>
      <w:pPr>
        <w:pStyle w:val="Heading1"/>
      </w:pPr>
      <w:r>
        <w:rPr>
          <w:color w:val="00806A"/>
        </w:rPr>
        <w:t>Introduction</w:t>
      </w:r>
    </w:p>
    <w:p>
      <w:r>
        <w:t>This document contains the key decision rules I follow during Phase 2 of a Business Analysis project. Phase 2 covers the period from the completion of business documents to the start of User Acceptance Testing. In Phase 2, the audience changes from business stakeholders to the technical team: developers, QA engineers, system architects, and project managers. The language becomes more technical, but the BA remains the bridge between business and technology.</w:t>
      </w:r>
    </w:p>
    <w:p>
      <w:r>
        <w:t>Each rule includes a short explanation and a practical example from the Kontakt Home Return Management System project. These rules complement the Phase 1 Decision Rules. Together, they form the complete decision-making framework a BA uses from the first stakeholder interview to the final UAT sign-off.</w:t>
      </w:r>
    </w:p>
    <w:p>
      <w:pPr>
        <w:pStyle w:val="Heading1"/>
      </w:pPr>
      <w:r>
        <w:rPr>
          <w:color w:val="00806A"/>
        </w:rPr>
        <w:t>Part A: SRS Writing Rules</w:t>
      </w:r>
    </w:p>
    <w:p>
      <w:r>
        <w:t>The Software Requirements Specification is the first technical document in Phase 2. It translates business requirements from the BRD into system requirements that both business and technical people can understand. This section covers how I decide the right level of detail, how to handle non-functional requirements, and how to avoid the most common mistakes BAs make when writing an SRS.</w:t>
      </w:r>
    </w:p>
    <w:tbl>
      <w:tblPr>
        <w:tblW w:type="auto" w:w="0"/>
        <w:jc w:val="left"/>
        <w:tblLook w:firstColumn="1" w:firstRow="1" w:lastColumn="0" w:lastRow="0" w:noHBand="0" w:noVBand="1" w:val="04A0"/>
      </w:tblPr>
      <w:tblGrid>
        <w:gridCol w:w="4320"/>
        <w:gridCol w:w="4320"/>
      </w:tblGrid>
      <w:tr>
        <w:tc>
          <w:tcPr>
            <w:tcW w:type="dxa" w:w="680"/>
            <w:shd w:fill="00806A" w:val="clear"/>
          </w:tcPr>
          <w:p>
            <w:pPr>
              <w:jc w:val="center"/>
            </w:pPr>
            <w:r>
              <w:rPr>
                <w:rFonts w:ascii="Arial" w:hAnsi="Arial"/>
                <w:b/>
                <w:color w:val="FFFFFF"/>
                <w:sz w:val="20"/>
              </w:rPr>
              <w:t>Rule 1:</w:t>
              <w:br/>
              <w:t>SRS Requirement</w:t>
              <w:br/>
              <w:t>Granularity</w:t>
            </w:r>
          </w:p>
        </w:tc>
        <w:tc>
          <w:tcPr>
            <w:tcW w:type="dxa" w:w="8504"/>
          </w:tcPr>
          <w:p>
            <w:pPr>
              <w:spacing w:before="120" w:after="120"/>
            </w:pPr>
            <w:r>
              <w:rPr>
                <w:rFonts w:ascii="Calibri" w:hAnsi="Calibri"/>
                <w:b/>
                <w:color w:val="00806A"/>
                <w:sz w:val="22"/>
              </w:rPr>
              <w:t>SRS Requirement Granularity</w:t>
            </w:r>
            <w:r>
              <w:br/>
            </w:r>
            <w:r>
              <w:rPr>
                <w:rFonts w:ascii="Calibri" w:hAnsi="Calibri"/>
                <w:sz w:val="20"/>
              </w:rPr>
              <w:t>Each system requirement should be specific enough that a developer can start building without asking questions, but not so detailed that it becomes a technical design. The rule is: if a developer reads the requirement and knows WHAT the system must do but still needs to decide HOW to build it, the granularity is correct. If the developer knows exactly how to build it, you went too far into design. If the developer is confused about what to build, you did not go far enough.</w:t>
            </w:r>
            <w:r>
              <w:br/>
            </w:r>
            <w:r>
              <w:rPr>
                <w:rFonts w:ascii="Calibri" w:hAnsi="Calibri"/>
                <w:sz w:val="20"/>
              </w:rPr>
            </w:r>
            <w:r>
              <w:br/>
            </w:r>
            <w:r>
              <w:rPr>
                <w:rFonts w:ascii="Calibri" w:hAnsi="Calibri"/>
                <w:i/>
                <w:color w:val="687078"/>
                <w:sz w:val="20"/>
              </w:rPr>
              <w:t>Example: BR-001 says "Customer can submit return request online." The SRS should say: "The system shall provide a web form where registered customers can create a return request by selecting an order, choosing items from that order, selecting a return reason from a predefined list, and uploading up to 3 product photos in JPG or PNG format, each under 5 MB." This tells the developer what to build without telling them which framework to use or how to structure the database.</w:t>
            </w:r>
          </w:p>
        </w:tc>
      </w:tr>
    </w:tbl>
    <w:p/>
    <w:tbl>
      <w:tblPr>
        <w:tblW w:type="auto" w:w="0"/>
        <w:jc w:val="left"/>
        <w:tblLook w:firstColumn="1" w:firstRow="1" w:lastColumn="0" w:lastRow="0" w:noHBand="0" w:noVBand="1" w:val="04A0"/>
      </w:tblPr>
      <w:tblGrid>
        <w:gridCol w:w="4320"/>
        <w:gridCol w:w="4320"/>
      </w:tblGrid>
      <w:tr>
        <w:tc>
          <w:tcPr>
            <w:tcW w:type="dxa" w:w="680"/>
            <w:shd w:fill="00806A" w:val="clear"/>
          </w:tcPr>
          <w:p>
            <w:pPr>
              <w:jc w:val="center"/>
            </w:pPr>
            <w:r>
              <w:rPr>
                <w:rFonts w:ascii="Arial" w:hAnsi="Arial"/>
                <w:b/>
                <w:color w:val="FFFFFF"/>
                <w:sz w:val="20"/>
              </w:rPr>
              <w:t>Rule 2:</w:t>
              <w:br/>
              <w:t>Non-Functional</w:t>
              <w:br/>
              <w:t>Requirements</w:t>
            </w:r>
          </w:p>
        </w:tc>
        <w:tc>
          <w:tcPr>
            <w:tcW w:type="dxa" w:w="8504"/>
          </w:tcPr>
          <w:p>
            <w:pPr>
              <w:spacing w:before="120" w:after="120"/>
            </w:pPr>
            <w:r>
              <w:rPr>
                <w:rFonts w:ascii="Calibri" w:hAnsi="Calibri"/>
                <w:b/>
                <w:color w:val="00806A"/>
                <w:sz w:val="22"/>
              </w:rPr>
              <w:t>Non-Functional Requirements</w:t>
            </w:r>
            <w:r>
              <w:br/>
            </w:r>
            <w:r>
              <w:rPr>
                <w:rFonts w:ascii="Calibri" w:hAnsi="Calibri"/>
                <w:sz w:val="20"/>
              </w:rPr>
              <w:t>The BRD usually does not cover non-functional requirements like performance, security, or usability. The SRS must include them. My rule is: cover at least five categories. Performance (response time, concurrent users), Security (authentication, authorization, data encryption), Usability (browser support, mobile responsiveness), Reliability (uptime, backup, error recovery), and Compatibility (integration with existing systems like ERP, CRM).</w:t>
            </w:r>
            <w:r>
              <w:br/>
            </w:r>
            <w:r>
              <w:rPr>
                <w:rFonts w:ascii="Calibri" w:hAnsi="Calibri"/>
                <w:sz w:val="20"/>
              </w:rPr>
            </w:r>
            <w:r>
              <w:br/>
            </w:r>
            <w:r>
              <w:rPr>
                <w:rFonts w:ascii="Calibri" w:hAnsi="Calibri"/>
                <w:i/>
                <w:color w:val="687078"/>
                <w:sz w:val="20"/>
              </w:rPr>
              <w:t>Example: "The system shall respond to return request submission within 3 seconds under normal load. The system shall support up to 200 concurrent return submissions during peak hours. All customer data shall be encrypted using AES-256 at rest and TLS 1.3 in transit."</w:t>
            </w:r>
          </w:p>
        </w:tc>
      </w:tr>
    </w:tbl>
    <w:p/>
    <w:tbl>
      <w:tblPr>
        <w:tblW w:type="auto" w:w="0"/>
        <w:jc w:val="left"/>
        <w:tblLook w:firstColumn="1" w:firstRow="1" w:lastColumn="0" w:lastRow="0" w:noHBand="0" w:noVBand="1" w:val="04A0"/>
      </w:tblPr>
      <w:tblGrid>
        <w:gridCol w:w="4320"/>
        <w:gridCol w:w="4320"/>
      </w:tblGrid>
      <w:tr>
        <w:tc>
          <w:tcPr>
            <w:tcW w:type="dxa" w:w="680"/>
            <w:shd w:fill="00806A" w:val="clear"/>
          </w:tcPr>
          <w:p>
            <w:pPr>
              <w:jc w:val="center"/>
            </w:pPr>
            <w:r>
              <w:rPr>
                <w:rFonts w:ascii="Arial" w:hAnsi="Arial"/>
                <w:b/>
                <w:color w:val="FFFFFF"/>
                <w:sz w:val="20"/>
              </w:rPr>
              <w:t>Rule 3:</w:t>
              <w:br/>
              <w:t>Traceability from</w:t>
              <w:br/>
              <w:t>BRD to SRS</w:t>
            </w:r>
          </w:p>
        </w:tc>
        <w:tc>
          <w:tcPr>
            <w:tcW w:type="dxa" w:w="8504"/>
          </w:tcPr>
          <w:p>
            <w:pPr>
              <w:spacing w:before="120" w:after="120"/>
            </w:pPr>
            <w:r>
              <w:rPr>
                <w:rFonts w:ascii="Calibri" w:hAnsi="Calibri"/>
                <w:b/>
                <w:color w:val="00806A"/>
                <w:sz w:val="22"/>
              </w:rPr>
              <w:t>Traceability from BRD to SRS</w:t>
            </w:r>
            <w:r>
              <w:br/>
            </w:r>
            <w:r>
              <w:rPr>
                <w:rFonts w:ascii="Calibri" w:hAnsi="Calibri"/>
                <w:sz w:val="20"/>
              </w:rPr>
              <w:t>Every system requirement must trace back to a BRD requirement. If you write a system requirement that has no BRD source, you are adding scope without business approval. My rule is: in the SRS, include a traceability column that maps each SR number to its parent BR number. When the SRS is reviewed, the reviewer can verify that every BRD requirement is covered and no extra requirements sneaked in.</w:t>
            </w:r>
            <w:r>
              <w:br/>
            </w:r>
            <w:r>
              <w:rPr>
                <w:rFonts w:ascii="Calibri" w:hAnsi="Calibri"/>
                <w:sz w:val="20"/>
              </w:rPr>
            </w:r>
            <w:r>
              <w:br/>
            </w:r>
            <w:r>
              <w:rPr>
                <w:rFonts w:ascii="Calibri" w:hAnsi="Calibri"/>
                <w:i/>
                <w:color w:val="687078"/>
                <w:sz w:val="20"/>
              </w:rPr>
              <w:t>Example: SR-001 maps to BR-001. SR-002 maps to BR-001. SR-003 maps to BR-002. If there is an SR-010 with no BR parent, it must be justified: "This is a security requirement derived from company policy, not from a specific business requirement. Approved by CTO on 15.03.2025."</w:t>
            </w:r>
          </w:p>
        </w:tc>
      </w:tr>
    </w:tbl>
    <w:p/>
    <w:p>
      <w:pPr>
        <w:pStyle w:val="Heading1"/>
      </w:pPr>
      <w:r>
        <w:rPr>
          <w:color w:val="00806A"/>
        </w:rPr>
        <w:t>Part B: FRD Writing Rules</w:t>
      </w:r>
    </w:p>
    <w:p>
      <w:r>
        <w:t>The Functional Requirements Document takes the SRS and defines exactly how the system behaves in every scenario. This is the most detailed document the BA writes. It is also the document that developers reference most often during coding. This section covers how to structure functional requirements, how deep to go with business logic, and how to handle edge cases without making the document too long.</w:t>
      </w:r>
    </w:p>
    <w:tbl>
      <w:tblPr>
        <w:tblW w:type="auto" w:w="0"/>
        <w:jc w:val="left"/>
        <w:tblLook w:firstColumn="1" w:firstRow="1" w:lastColumn="0" w:lastRow="0" w:noHBand="0" w:noVBand="1" w:val="04A0"/>
      </w:tblPr>
      <w:tblGrid>
        <w:gridCol w:w="4320"/>
        <w:gridCol w:w="4320"/>
      </w:tblGrid>
      <w:tr>
        <w:tc>
          <w:tcPr>
            <w:tcW w:type="dxa" w:w="680"/>
            <w:shd w:fill="00806A" w:val="clear"/>
          </w:tcPr>
          <w:p>
            <w:pPr>
              <w:jc w:val="center"/>
            </w:pPr>
            <w:r>
              <w:rPr>
                <w:rFonts w:ascii="Arial" w:hAnsi="Arial"/>
                <w:b/>
                <w:color w:val="FFFFFF"/>
                <w:sz w:val="20"/>
              </w:rPr>
              <w:t>Rule 4:</w:t>
              <w:br/>
              <w:t>FRD Structure</w:t>
              <w:br/>
              <w:t>and Scenarios</w:t>
            </w:r>
          </w:p>
        </w:tc>
        <w:tc>
          <w:tcPr>
            <w:tcW w:type="dxa" w:w="8504"/>
          </w:tcPr>
          <w:p>
            <w:pPr>
              <w:spacing w:before="120" w:after="120"/>
            </w:pPr>
            <w:r>
              <w:rPr>
                <w:rFonts w:ascii="Calibri" w:hAnsi="Calibri"/>
                <w:b/>
                <w:color w:val="00806A"/>
                <w:sz w:val="22"/>
              </w:rPr>
              <w:t>FRD Structure and Scenarios</w:t>
            </w:r>
            <w:r>
              <w:br/>
            </w:r>
            <w:r>
              <w:rPr>
                <w:rFonts w:ascii="Calibri" w:hAnsi="Calibri"/>
                <w:sz w:val="20"/>
              </w:rPr>
              <w:t>Each functional requirement in the FRD follows a standard structure: requirement ID, description, input, processing logic, output, business rules, and error handling. My rule is: for every functional requirement, write at least three scenarios: the happy path (everything works correctly), the main error case (the most likely failure), and one edge case (unusual but possible situation).</w:t>
            </w:r>
            <w:r>
              <w:br/>
            </w:r>
            <w:r>
              <w:rPr>
                <w:rFonts w:ascii="Calibri" w:hAnsi="Calibri"/>
                <w:sz w:val="20"/>
              </w:rPr>
            </w:r>
            <w:r>
              <w:br/>
            </w:r>
            <w:r>
              <w:rPr>
                <w:rFonts w:ascii="Calibri" w:hAnsi="Calibri"/>
                <w:i/>
                <w:color w:val="687078"/>
                <w:sz w:val="20"/>
              </w:rPr>
              <w:t>Example: FR-001 Return Eligibility Check. Happy path: customer selects items, all conditions pass, system shows estimated refund. Main error: order is older than 14 days, system shows "Return period expired." Edge case: customer returns 4 items but only 3 are eligible, system shows partial approval with explanation.</w:t>
            </w:r>
          </w:p>
        </w:tc>
      </w:tr>
    </w:tbl>
    <w:p/>
    <w:tbl>
      <w:tblPr>
        <w:tblW w:type="auto" w:w="0"/>
        <w:jc w:val="left"/>
        <w:tblLook w:firstColumn="1" w:firstRow="1" w:lastColumn="0" w:lastRow="0" w:noHBand="0" w:noVBand="1" w:val="04A0"/>
      </w:tblPr>
      <w:tblGrid>
        <w:gridCol w:w="4320"/>
        <w:gridCol w:w="4320"/>
      </w:tblGrid>
      <w:tr>
        <w:tc>
          <w:tcPr>
            <w:tcW w:type="dxa" w:w="680"/>
            <w:shd w:fill="00806A" w:val="clear"/>
          </w:tcPr>
          <w:p>
            <w:pPr>
              <w:jc w:val="center"/>
            </w:pPr>
            <w:r>
              <w:rPr>
                <w:rFonts w:ascii="Arial" w:hAnsi="Arial"/>
                <w:b/>
                <w:color w:val="FFFFFF"/>
                <w:sz w:val="20"/>
              </w:rPr>
              <w:t>Rule 5:</w:t>
              <w:br/>
              <w:t>Business Logic</w:t>
              <w:br/>
              <w:t>Depth</w:t>
            </w:r>
          </w:p>
        </w:tc>
        <w:tc>
          <w:tcPr>
            <w:tcW w:type="dxa" w:w="8504"/>
          </w:tcPr>
          <w:p>
            <w:pPr>
              <w:spacing w:before="120" w:after="120"/>
            </w:pPr>
            <w:r>
              <w:rPr>
                <w:rFonts w:ascii="Calibri" w:hAnsi="Calibri"/>
                <w:b/>
                <w:color w:val="00806A"/>
                <w:sz w:val="22"/>
              </w:rPr>
              <w:t>Business Logic Depth</w:t>
            </w:r>
            <w:r>
              <w:br/>
            </w:r>
            <w:r>
              <w:rPr>
                <w:rFonts w:ascii="Calibri" w:hAnsi="Calibri"/>
                <w:sz w:val="20"/>
              </w:rPr>
              <w:t>The FRD must contain enough business logic detail that a developer can implement the feature without calling the BA for clarification. My rule is: write every calculation formula, every validation rule, every conditional branch, and every status transition. Do not assume the developer will "figure it out." The developer does not know the business rules. You do. Write them down.</w:t>
            </w:r>
            <w:r>
              <w:br/>
            </w:r>
            <w:r>
              <w:rPr>
                <w:rFonts w:ascii="Calibri" w:hAnsi="Calibri"/>
                <w:sz w:val="20"/>
              </w:rPr>
            </w:r>
            <w:r>
              <w:br/>
            </w:r>
            <w:r>
              <w:rPr>
                <w:rFonts w:ascii="Calibri" w:hAnsi="Calibri"/>
                <w:i/>
                <w:color w:val="687078"/>
                <w:sz w:val="20"/>
              </w:rPr>
              <w:t>Example: For refund calculation, write the exact formula: "Refund amount = product price minus restocking fee if applicable. Restocking fee = 10% of product price for electronics category, 0% for other categories. If product was purchased with a coupon, refund amount is calculated on the discounted price, not the original price. Minimum refund amount is 0.01 AZN. If calculated refund is negative due to coupon, refund is 0 and customer receives an email explaining the coupon cannot be applied to returns."</w:t>
            </w:r>
          </w:p>
        </w:tc>
      </w:tr>
    </w:tbl>
    <w:p/>
    <w:tbl>
      <w:tblPr>
        <w:tblW w:type="auto" w:w="0"/>
        <w:jc w:val="left"/>
        <w:tblLook w:firstColumn="1" w:firstRow="1" w:lastColumn="0" w:lastRow="0" w:noHBand="0" w:noVBand="1" w:val="04A0"/>
      </w:tblPr>
      <w:tblGrid>
        <w:gridCol w:w="4320"/>
        <w:gridCol w:w="4320"/>
      </w:tblGrid>
      <w:tr>
        <w:tc>
          <w:tcPr>
            <w:tcW w:type="dxa" w:w="680"/>
            <w:shd w:fill="00806A" w:val="clear"/>
          </w:tcPr>
          <w:p>
            <w:pPr>
              <w:jc w:val="center"/>
            </w:pPr>
            <w:r>
              <w:rPr>
                <w:rFonts w:ascii="Arial" w:hAnsi="Arial"/>
                <w:b/>
                <w:color w:val="FFFFFF"/>
                <w:sz w:val="20"/>
              </w:rPr>
              <w:t>Rule 6:</w:t>
              <w:br/>
              <w:t>Edge Cases and</w:t>
              <w:br/>
              <w:t>Error Handling</w:t>
            </w:r>
          </w:p>
        </w:tc>
        <w:tc>
          <w:tcPr>
            <w:tcW w:type="dxa" w:w="8504"/>
          </w:tcPr>
          <w:p>
            <w:pPr>
              <w:spacing w:before="120" w:after="120"/>
            </w:pPr>
            <w:r>
              <w:rPr>
                <w:rFonts w:ascii="Calibri" w:hAnsi="Calibri"/>
                <w:b/>
                <w:color w:val="00806A"/>
                <w:sz w:val="22"/>
              </w:rPr>
              <w:t>Edge Cases and Error Handling</w:t>
            </w:r>
            <w:r>
              <w:br/>
            </w:r>
            <w:r>
              <w:rPr>
                <w:rFonts w:ascii="Calibri" w:hAnsi="Calibri"/>
                <w:sz w:val="20"/>
              </w:rPr>
              <w:t>For every functional requirement, spend five minutes thinking about what could go wrong. My rule is: list at least 2-3 error cases per requirement. These become the error handling section of the FRD. The developer needs to know: what error message to show, what HTTP status code to return, and what happens to the data when an error occurs. Does the system save a draft? Does it roll back? Does it log the error?</w:t>
            </w:r>
            <w:r>
              <w:br/>
            </w:r>
            <w:r>
              <w:rPr>
                <w:rFonts w:ascii="Calibri" w:hAnsi="Calibri"/>
                <w:sz w:val="20"/>
              </w:rPr>
            </w:r>
            <w:r>
              <w:br/>
            </w:r>
            <w:r>
              <w:rPr>
                <w:rFonts w:ascii="Calibri" w:hAnsi="Calibri"/>
                <w:i/>
                <w:color w:val="687078"/>
                <w:sz w:val="20"/>
              </w:rPr>
              <w:t>Example: For the return request submission, error cases include: customer tries to return an item already returned (error: "This item has already been returned under reference RMA-1234"), photo upload fails (error: "Photo upload failed. Please try again. Maximum file size is 5 MB."), customer submits during scheduled maintenance (error: "System is temporarily unavailable. Please try again in 10 minutes.").</w:t>
            </w:r>
          </w:p>
        </w:tc>
      </w:tr>
    </w:tbl>
    <w:p/>
    <w:p>
      <w:pPr>
        <w:pStyle w:val="Heading1"/>
      </w:pPr>
      <w:r>
        <w:rPr>
          <w:color w:val="00806A"/>
        </w:rPr>
        <w:t>Part C: System Design Rules</w:t>
      </w:r>
    </w:p>
    <w:p>
      <w:r>
        <w:t>The System Design document defines the technical architecture. This is primarily written by the system architect or lead developer, but the BA plays an important role in facilitating, coordinating, and documenting. This section covers how the BA contributes to system design and what decisions the BA makes during the process.</w:t>
      </w:r>
    </w:p>
    <w:tbl>
      <w:tblPr>
        <w:tblW w:type="auto" w:w="0"/>
        <w:jc w:val="left"/>
        <w:tblLook w:firstColumn="1" w:firstRow="1" w:lastColumn="0" w:lastRow="0" w:noHBand="0" w:noVBand="1" w:val="04A0"/>
      </w:tblPr>
      <w:tblGrid>
        <w:gridCol w:w="4320"/>
        <w:gridCol w:w="4320"/>
      </w:tblGrid>
      <w:tr>
        <w:tc>
          <w:tcPr>
            <w:tcW w:type="dxa" w:w="680"/>
            <w:shd w:fill="00806A" w:val="clear"/>
          </w:tcPr>
          <w:p>
            <w:pPr>
              <w:jc w:val="center"/>
            </w:pPr>
            <w:r>
              <w:rPr>
                <w:rFonts w:ascii="Arial" w:hAnsi="Arial"/>
                <w:b/>
                <w:color w:val="FFFFFF"/>
                <w:sz w:val="20"/>
              </w:rPr>
              <w:t>Rule 7:</w:t>
              <w:br/>
              <w:t>BA Role in</w:t>
              <w:br/>
              <w:t>System Design</w:t>
            </w:r>
          </w:p>
        </w:tc>
        <w:tc>
          <w:tcPr>
            <w:tcW w:type="dxa" w:w="8504"/>
          </w:tcPr>
          <w:p>
            <w:pPr>
              <w:spacing w:before="120" w:after="120"/>
            </w:pPr>
            <w:r>
              <w:rPr>
                <w:rFonts w:ascii="Calibri" w:hAnsi="Calibri"/>
                <w:b/>
                <w:color w:val="00806A"/>
                <w:sz w:val="22"/>
              </w:rPr>
              <w:t>BA Role in System Design</w:t>
            </w:r>
            <w:r>
              <w:br/>
            </w:r>
            <w:r>
              <w:rPr>
                <w:rFonts w:ascii="Calibri" w:hAnsi="Calibri"/>
                <w:sz w:val="20"/>
              </w:rPr>
              <w:t>The BA does not design the architecture. The BA writes the business context section, the requirements mapping, and the data requirements. The lead developer writes the architecture, database schema, and API design. My rule is: the BA facilitates the design workshop but does not make technical architecture decisions. The BA asks the right questions, documents the answers, and makes sure the design supports all functional requirements from the FRD.</w:t>
            </w:r>
            <w:r>
              <w:br/>
            </w:r>
            <w:r>
              <w:rPr>
                <w:rFonts w:ascii="Calibri" w:hAnsi="Calibri"/>
                <w:sz w:val="20"/>
              </w:rPr>
            </w:r>
            <w:r>
              <w:br/>
            </w:r>
            <w:r>
              <w:rPr>
                <w:rFonts w:ascii="Calibri" w:hAnsi="Calibri"/>
                <w:i/>
                <w:color w:val="687078"/>
                <w:sz w:val="20"/>
              </w:rPr>
              <w:t>Example: I schedule a 2-hour workshop with Tural (lead developer) and his team. I present the FRD. Then I ask: "FR-001 requires real-time eligibility checking. What architecture do you recommend for this?" Tural proposes a microservice with Redis caching. I document his decision and note: "Decision: use Redis for eligibility check caching. Rationale: 3-second response time requirement from SRS. Decided by: Tural, Lead Developer. Date: 20.03.2025."</w:t>
            </w:r>
          </w:p>
        </w:tc>
      </w:tr>
    </w:tbl>
    <w:p/>
    <w:tbl>
      <w:tblPr>
        <w:tblW w:type="auto" w:w="0"/>
        <w:jc w:val="left"/>
        <w:tblLook w:firstColumn="1" w:firstRow="1" w:lastColumn="0" w:lastRow="0" w:noHBand="0" w:noVBand="1" w:val="04A0"/>
      </w:tblPr>
      <w:tblGrid>
        <w:gridCol w:w="4320"/>
        <w:gridCol w:w="4320"/>
      </w:tblGrid>
      <w:tr>
        <w:tc>
          <w:tcPr>
            <w:tcW w:type="dxa" w:w="680"/>
            <w:shd w:fill="00806A" w:val="clear"/>
          </w:tcPr>
          <w:p>
            <w:pPr>
              <w:jc w:val="center"/>
            </w:pPr>
            <w:r>
              <w:rPr>
                <w:rFonts w:ascii="Arial" w:hAnsi="Arial"/>
                <w:b/>
                <w:color w:val="FFFFFF"/>
                <w:sz w:val="20"/>
              </w:rPr>
              <w:t>Rule 8:</w:t>
              <w:br/>
              <w:t>Design Decision</w:t>
              <w:br/>
              <w:t>Documentation</w:t>
            </w:r>
          </w:p>
        </w:tc>
        <w:tc>
          <w:tcPr>
            <w:tcW w:type="dxa" w:w="8504"/>
          </w:tcPr>
          <w:p>
            <w:pPr>
              <w:spacing w:before="120" w:after="120"/>
            </w:pPr>
            <w:r>
              <w:rPr>
                <w:rFonts w:ascii="Calibri" w:hAnsi="Calibri"/>
                <w:b/>
                <w:color w:val="00806A"/>
                <w:sz w:val="22"/>
              </w:rPr>
              <w:t>Design Decision Documentation</w:t>
            </w:r>
            <w:r>
              <w:br/>
            </w:r>
            <w:r>
              <w:rPr>
                <w:rFonts w:ascii="Calibri" w:hAnsi="Calibri"/>
                <w:sz w:val="20"/>
              </w:rPr>
              <w:t>Every technical decision made during the System Design phase must be documented with four elements: what was decided, why it was chosen over alternatives, who made the decision, and what requirement it satisfies. My rule is: no design decision is valid until it is written down with these four elements. Verbal agreements in meetings are not decisions. They are intentions. Only documented decisions count.</w:t>
            </w:r>
            <w:r>
              <w:br/>
            </w:r>
            <w:r>
              <w:rPr>
                <w:rFonts w:ascii="Calibri" w:hAnsi="Calibri"/>
                <w:sz w:val="20"/>
              </w:rPr>
            </w:r>
            <w:r>
              <w:br/>
            </w:r>
            <w:r>
              <w:rPr>
                <w:rFonts w:ascii="Calibri" w:hAnsi="Calibri"/>
                <w:i/>
                <w:color w:val="687078"/>
                <w:sz w:val="20"/>
              </w:rPr>
              <w:t>Example: "Decision: PostgreSQL for the main database. Alternatives considered: MySQL (rejected due to limited JSON support), MongoDB (rejected due to need for ACID transactions for financial data). Decision made by: Tural (Lead Developer), approved by Ramin (CTO). Satisfies: SRS NFR-002 (data integrity). Date: 20.03.2025." If someone later asks "Why PostgreSQL?", the answer is in the document.</w:t>
            </w:r>
          </w:p>
        </w:tc>
      </w:tr>
    </w:tbl>
    <w:p/>
    <w:p>
      <w:pPr>
        <w:pStyle w:val="Heading1"/>
      </w:pPr>
      <w:r>
        <w:rPr>
          <w:color w:val="00806A"/>
        </w:rPr>
        <w:t>Part D: REST API Specification Rules</w:t>
      </w:r>
    </w:p>
    <w:p>
      <w:r>
        <w:t>The REST API JSON Specification defines every endpoint the system exposes. This is where the BA works closely with the frontend and backend developers to define the contract between the user interface and the server. This section covers how to identify endpoints, how to structure JSON, and how to handle versioning.</w:t>
      </w:r>
    </w:p>
    <w:tbl>
      <w:tblPr>
        <w:tblW w:type="auto" w:w="0"/>
        <w:jc w:val="left"/>
        <w:tblLook w:firstColumn="1" w:firstRow="1" w:lastColumn="0" w:lastRow="0" w:noHBand="0" w:noVBand="1" w:val="04A0"/>
      </w:tblPr>
      <w:tblGrid>
        <w:gridCol w:w="4320"/>
        <w:gridCol w:w="4320"/>
      </w:tblGrid>
      <w:tr>
        <w:tc>
          <w:tcPr>
            <w:tcW w:type="dxa" w:w="680"/>
            <w:shd w:fill="00806A" w:val="clear"/>
          </w:tcPr>
          <w:p>
            <w:pPr>
              <w:jc w:val="center"/>
            </w:pPr>
            <w:r>
              <w:rPr>
                <w:rFonts w:ascii="Arial" w:hAnsi="Arial"/>
                <w:b/>
                <w:color w:val="FFFFFF"/>
                <w:sz w:val="20"/>
              </w:rPr>
              <w:t>Rule 9:</w:t>
              <w:br/>
              <w:t>Endpoint</w:t>
              <w:br/>
              <w:t>Identification</w:t>
            </w:r>
          </w:p>
        </w:tc>
        <w:tc>
          <w:tcPr>
            <w:tcW w:type="dxa" w:w="8504"/>
          </w:tcPr>
          <w:p>
            <w:pPr>
              <w:spacing w:before="120" w:after="120"/>
            </w:pPr>
            <w:r>
              <w:rPr>
                <w:rFonts w:ascii="Calibri" w:hAnsi="Calibri"/>
                <w:b/>
                <w:color w:val="00806A"/>
                <w:sz w:val="22"/>
              </w:rPr>
              <w:t>Endpoint Identification</w:t>
            </w:r>
            <w:r>
              <w:br/>
            </w:r>
            <w:r>
              <w:rPr>
                <w:rFonts w:ascii="Calibri" w:hAnsi="Calibri"/>
                <w:sz w:val="20"/>
              </w:rPr>
              <w:t>Start from the user interface. For every screen in the application, ask: "What data does this screen need?" and "What actions can the user take on this screen?" Each data need becomes a GET endpoint. Each user action becomes a POST, PUT, or DELETE endpoint. My rule is: walk through every user story and map it to one or more API calls. If a user story cannot be mapped to any endpoint, you have a gap.</w:t>
            </w:r>
            <w:r>
              <w:br/>
            </w:r>
            <w:r>
              <w:rPr>
                <w:rFonts w:ascii="Calibri" w:hAnsi="Calibri"/>
                <w:sz w:val="20"/>
              </w:rPr>
            </w:r>
            <w:r>
              <w:br/>
            </w:r>
            <w:r>
              <w:rPr>
                <w:rFonts w:ascii="Calibri" w:hAnsi="Calibri"/>
                <w:i/>
                <w:color w:val="687078"/>
                <w:sz w:val="20"/>
              </w:rPr>
              <w:t>Example: US-001 (customer submits return request) maps to POST /api/v1/returns. US-003 (customer views return status) maps to GET /api/v1/returns/{id}. US-005 (admin approves return) maps to PUT /api/v1/returns/{id}/approve. US-008 (customer uploads photo) maps to POST /api/v1/returns/{id}/photos. Total for 10 user stories: approximately 25-30 endpoints.</w:t>
            </w:r>
          </w:p>
        </w:tc>
      </w:tr>
    </w:tbl>
    <w:p/>
    <w:tbl>
      <w:tblPr>
        <w:tblW w:type="auto" w:w="0"/>
        <w:jc w:val="left"/>
        <w:tblLook w:firstColumn="1" w:firstRow="1" w:lastColumn="0" w:lastRow="0" w:noHBand="0" w:noVBand="1" w:val="04A0"/>
      </w:tblPr>
      <w:tblGrid>
        <w:gridCol w:w="4320"/>
        <w:gridCol w:w="4320"/>
      </w:tblGrid>
      <w:tr>
        <w:tc>
          <w:tcPr>
            <w:tcW w:type="dxa" w:w="680"/>
            <w:shd w:fill="00806A" w:val="clear"/>
          </w:tcPr>
          <w:p>
            <w:pPr>
              <w:jc w:val="center"/>
            </w:pPr>
            <w:r>
              <w:rPr>
                <w:rFonts w:ascii="Arial" w:hAnsi="Arial"/>
                <w:b/>
                <w:color w:val="FFFFFF"/>
                <w:sz w:val="20"/>
              </w:rPr>
              <w:t>Rule 10:</w:t>
              <w:br/>
              <w:t>JSON Structure</w:t>
              <w:br/>
              <w:t>and Naming</w:t>
            </w:r>
          </w:p>
        </w:tc>
        <w:tc>
          <w:tcPr>
            <w:tcW w:type="dxa" w:w="8504"/>
          </w:tcPr>
          <w:p>
            <w:pPr>
              <w:spacing w:before="120" w:after="120"/>
            </w:pPr>
            <w:r>
              <w:rPr>
                <w:rFonts w:ascii="Calibri" w:hAnsi="Calibri"/>
                <w:b/>
                <w:color w:val="00806A"/>
                <w:sz w:val="22"/>
              </w:rPr>
              <w:t>JSON Structure and Naming</w:t>
            </w:r>
            <w:r>
              <w:br/>
            </w:r>
            <w:r>
              <w:rPr>
                <w:rFonts w:ascii="Calibri" w:hAnsi="Calibri"/>
                <w:sz w:val="20"/>
              </w:rPr>
              <w:t>Every API endpoint must have a complete JSON structure for both request and response. My rule is: use consistent naming conventions across all endpoints. Field names in camelCase, resource names in plural (returns, not return), IDs as strings in UUID format, dates in ISO 8601 format, amounts as numbers with two decimal places, and always include meta fields (pagination, timestamps, error codes).</w:t>
            </w:r>
            <w:r>
              <w:br/>
            </w:r>
            <w:r>
              <w:rPr>
                <w:rFonts w:ascii="Calibri" w:hAnsi="Calibri"/>
                <w:sz w:val="20"/>
              </w:rPr>
            </w:r>
            <w:r>
              <w:br/>
            </w:r>
            <w:r>
              <w:rPr>
                <w:rFonts w:ascii="Calibri" w:hAnsi="Calibri"/>
                <w:i/>
                <w:color w:val="687078"/>
                <w:sz w:val="20"/>
              </w:rPr>
              <w:t>Example: GET /api/v1/returns/RM-2025-0001 response: {"returnId": "RM-2025-0001", "orderId": "ORD-2025-0456", "status": "approved", "items": [{"productId": "P-1001", "name": "Samsung TV", "quantity": 1, "reason": "defective"}], "refundAmount": 1250.00, "currency": "AZN", "createdAt": "2025-03-20T14:30:00Z", "updatedAt": "2025-03-21T09:15:00Z"}. Consistent structure across all endpoints.</w:t>
            </w:r>
          </w:p>
        </w:tc>
      </w:tr>
    </w:tbl>
    <w:p/>
    <w:p>
      <w:pPr>
        <w:pStyle w:val="Heading1"/>
      </w:pPr>
      <w:r>
        <w:rPr>
          <w:color w:val="00806A"/>
        </w:rPr>
        <w:t>Part E: Swagger / OpenAPI Rules</w:t>
      </w:r>
    </w:p>
    <w:p>
      <w:r>
        <w:t>The Swagger or OpenAPI Specification is the machine-readable version of the API documentation. This section covers the decisions the BA makes when converting the REST API Specification into the standardized OpenAPI format and how to ensure consistency and completeness.</w:t>
      </w:r>
    </w:p>
    <w:tbl>
      <w:tblPr>
        <w:tblW w:type="auto" w:w="0"/>
        <w:jc w:val="left"/>
        <w:tblLook w:firstColumn="1" w:firstRow="1" w:lastColumn="0" w:lastRow="0" w:noHBand="0" w:noVBand="1" w:val="04A0"/>
      </w:tblPr>
      <w:tblGrid>
        <w:gridCol w:w="4320"/>
        <w:gridCol w:w="4320"/>
      </w:tblGrid>
      <w:tr>
        <w:tc>
          <w:tcPr>
            <w:tcW w:type="dxa" w:w="680"/>
            <w:shd w:fill="00806A" w:val="clear"/>
          </w:tcPr>
          <w:p>
            <w:pPr>
              <w:jc w:val="center"/>
            </w:pPr>
            <w:r>
              <w:rPr>
                <w:rFonts w:ascii="Arial" w:hAnsi="Arial"/>
                <w:b/>
                <w:color w:val="FFFFFF"/>
                <w:sz w:val="20"/>
              </w:rPr>
              <w:t>Rule 11:</w:t>
              <w:br/>
              <w:t>OpenAPI Version</w:t>
              <w:br/>
              <w:t>and Standards</w:t>
            </w:r>
          </w:p>
        </w:tc>
        <w:tc>
          <w:tcPr>
            <w:tcW w:type="dxa" w:w="8504"/>
          </w:tcPr>
          <w:p>
            <w:pPr>
              <w:spacing w:before="120" w:after="120"/>
            </w:pPr>
            <w:r>
              <w:rPr>
                <w:rFonts w:ascii="Calibri" w:hAnsi="Calibri"/>
                <w:b/>
                <w:color w:val="00806A"/>
                <w:sz w:val="22"/>
              </w:rPr>
              <w:t>OpenAPI Version and Standards</w:t>
            </w:r>
            <w:r>
              <w:br/>
            </w:r>
            <w:r>
              <w:rPr>
                <w:rFonts w:ascii="Calibri" w:hAnsi="Calibri"/>
                <w:sz w:val="20"/>
              </w:rPr>
              <w:t>Always use OpenAPI 3.0 or later. Do not use the old Swagger 2.0 format. My rule is: include four sections in every OpenAPI file: info (title, version, description), servers (the base URL), paths (all endpoints), and components (shared schemas, security, error responses). The components section is critical because it prevents duplication. Define the error response schema once and reference it in every endpoint instead of repeating it 30 times.</w:t>
            </w:r>
            <w:r>
              <w:br/>
            </w:r>
            <w:r>
              <w:rPr>
                <w:rFonts w:ascii="Calibri" w:hAnsi="Calibri"/>
                <w:sz w:val="20"/>
              </w:rPr>
            </w:r>
            <w:r>
              <w:br/>
            </w:r>
            <w:r>
              <w:rPr>
                <w:rFonts w:ascii="Calibri" w:hAnsi="Calibri"/>
                <w:i/>
                <w:color w:val="687078"/>
                <w:sz w:val="20"/>
              </w:rPr>
              <w:t>Example: Components section includes: ErrorResponse schema (used by all endpoints), PaginationParams schema (used by all GET endpoints that return lists), AuthHeader schema (used by all authenticated endpoints), ReturnItem schema (used in create, update, and get return endpoints).</w:t>
            </w:r>
          </w:p>
        </w:tc>
      </w:tr>
    </w:tbl>
    <w:p/>
    <w:tbl>
      <w:tblPr>
        <w:tblW w:type="auto" w:w="0"/>
        <w:jc w:val="left"/>
        <w:tblLook w:firstColumn="1" w:firstRow="1" w:lastColumn="0" w:lastRow="0" w:noHBand="0" w:noVBand="1" w:val="04A0"/>
      </w:tblPr>
      <w:tblGrid>
        <w:gridCol w:w="4320"/>
        <w:gridCol w:w="4320"/>
      </w:tblGrid>
      <w:tr>
        <w:tc>
          <w:tcPr>
            <w:tcW w:type="dxa" w:w="680"/>
            <w:shd w:fill="00806A" w:val="clear"/>
          </w:tcPr>
          <w:p>
            <w:pPr>
              <w:jc w:val="center"/>
            </w:pPr>
            <w:r>
              <w:rPr>
                <w:rFonts w:ascii="Arial" w:hAnsi="Arial"/>
                <w:b/>
                <w:color w:val="FFFFFF"/>
                <w:sz w:val="20"/>
              </w:rPr>
              <w:t>Rule 12:</w:t>
              <w:br/>
              <w:t>API Versioning</w:t>
              <w:br/>
              <w:t>Strategy</w:t>
            </w:r>
          </w:p>
        </w:tc>
        <w:tc>
          <w:tcPr>
            <w:tcW w:type="dxa" w:w="8504"/>
          </w:tcPr>
          <w:p>
            <w:pPr>
              <w:spacing w:before="120" w:after="120"/>
            </w:pPr>
            <w:r>
              <w:rPr>
                <w:rFonts w:ascii="Calibri" w:hAnsi="Calibri"/>
                <w:b/>
                <w:color w:val="00806A"/>
                <w:sz w:val="22"/>
              </w:rPr>
              <w:t>API Versioning Strategy</w:t>
            </w:r>
            <w:r>
              <w:br/>
            </w:r>
            <w:r>
              <w:rPr>
                <w:rFonts w:ascii="Calibri" w:hAnsi="Calibri"/>
                <w:sz w:val="20"/>
              </w:rPr>
              <w:t>Always include the version number in the URL path, not in the header. My rule is: use /api/v1/ as the base path for the first version. When a breaking change is needed, create /api/v2/ and keep v1 running for at least 6 months. A breaking change is any change that breaks existing clients: removing a field, changing a field type, renaming a field, or changing the URL structure.</w:t>
            </w:r>
            <w:r>
              <w:br/>
            </w:r>
            <w:r>
              <w:rPr>
                <w:rFonts w:ascii="Calibri" w:hAnsi="Calibri"/>
                <w:sz w:val="20"/>
              </w:rPr>
            </w:r>
            <w:r>
              <w:br/>
            </w:r>
            <w:r>
              <w:rPr>
                <w:rFonts w:ascii="Calibri" w:hAnsi="Calibri"/>
                <w:i/>
                <w:color w:val="687078"/>
                <w:sz w:val="20"/>
              </w:rPr>
              <w:t>Example: The Return Management System launches with /api/v1/returns. Six months later, the team needs to change the refund calculation logic, which changes the response structure. Instead of modifying v1, they create /api/v2/returns with the new response format. Existing mobile apps continue using v1 until they are updated to support v2.</w:t>
            </w:r>
          </w:p>
        </w:tc>
      </w:tr>
    </w:tbl>
    <w:p/>
    <w:p>
      <w:pPr>
        <w:pStyle w:val="Heading1"/>
      </w:pPr>
      <w:r>
        <w:rPr>
          <w:color w:val="00806A"/>
        </w:rPr>
        <w:t>Part F: Postman API Testing Rules</w:t>
      </w:r>
    </w:p>
    <w:p>
      <w:r>
        <w:t>The Postman API Testing document defines test cases for every API endpoint. The BA works with the QA team to create comprehensive tests that verify both the happy path and error scenarios. This section covers how to structure test cases, how to use the FRD as the source of test logic, and how to handle test data.</w:t>
      </w:r>
    </w:p>
    <w:tbl>
      <w:tblPr>
        <w:tblW w:type="auto" w:w="0"/>
        <w:jc w:val="left"/>
        <w:tblLook w:firstColumn="1" w:firstRow="1" w:lastColumn="0" w:lastRow="0" w:noHBand="0" w:noVBand="1" w:val="04A0"/>
      </w:tblPr>
      <w:tblGrid>
        <w:gridCol w:w="4320"/>
        <w:gridCol w:w="4320"/>
      </w:tblGrid>
      <w:tr>
        <w:tc>
          <w:tcPr>
            <w:tcW w:type="dxa" w:w="680"/>
            <w:shd w:fill="00806A" w:val="clear"/>
          </w:tcPr>
          <w:p>
            <w:pPr>
              <w:jc w:val="center"/>
            </w:pPr>
            <w:r>
              <w:rPr>
                <w:rFonts w:ascii="Arial" w:hAnsi="Arial"/>
                <w:b/>
                <w:color w:val="FFFFFF"/>
                <w:sz w:val="20"/>
              </w:rPr>
              <w:t>Rule 13:</w:t>
              <w:br/>
              <w:t>Test Case</w:t>
              <w:br/>
              <w:t>Coverage</w:t>
            </w:r>
          </w:p>
        </w:tc>
        <w:tc>
          <w:tcPr>
            <w:tcW w:type="dxa" w:w="8504"/>
          </w:tcPr>
          <w:p>
            <w:pPr>
              <w:spacing w:before="120" w:after="120"/>
            </w:pPr>
            <w:r>
              <w:rPr>
                <w:rFonts w:ascii="Calibri" w:hAnsi="Calibri"/>
                <w:b/>
                <w:color w:val="00806A"/>
                <w:sz w:val="22"/>
              </w:rPr>
              <w:t>Test Case Coverage</w:t>
            </w:r>
            <w:r>
              <w:br/>
            </w:r>
            <w:r>
              <w:rPr>
                <w:rFonts w:ascii="Calibri" w:hAnsi="Calibri"/>
                <w:sz w:val="20"/>
              </w:rPr>
              <w:t>For every API endpoint, write at least 5 test cases: one valid request (happy path), two invalid input cases, one authorization failure case, and one edge case. My rule is: use the FRD error handling section as the primary source for test cases. Every error case described in the FRD should have a corresponding Postman test. If the FRD has 15 error cases, Postman should have at least 15 tests for those scenarios.</w:t>
            </w:r>
            <w:r>
              <w:br/>
            </w:r>
            <w:r>
              <w:rPr>
                <w:rFonts w:ascii="Calibri" w:hAnsi="Calibri"/>
                <w:sz w:val="20"/>
              </w:rPr>
            </w:r>
            <w:r>
              <w:br/>
            </w:r>
            <w:r>
              <w:rPr>
                <w:rFonts w:ascii="Calibri" w:hAnsi="Calibri"/>
                <w:i/>
                <w:color w:val="687078"/>
                <w:sz w:val="20"/>
              </w:rPr>
              <w:t>Example: For POST /api/v1/returns: Test 1 (valid) - all required fields present, expect 201 Created. Test 2 (invalid) - missing product ID, expect 400 Bad Request with "productId is required." Test 3 (invalid) - photo file exceeds 5 MB, expect 413 Payload Too Large. Test 4 (auth) - no authorization token, expect 401 Unauthorized. Test 5 (edge) - return request for an order from 15 days ago, expect 200 but with "partialEligible: false."</w:t>
            </w:r>
          </w:p>
        </w:tc>
      </w:tr>
    </w:tbl>
    <w:p/>
    <w:tbl>
      <w:tblPr>
        <w:tblW w:type="auto" w:w="0"/>
        <w:jc w:val="left"/>
        <w:tblLook w:firstColumn="1" w:firstRow="1" w:lastColumn="0" w:lastRow="0" w:noHBand="0" w:noVBand="1" w:val="04A0"/>
      </w:tblPr>
      <w:tblGrid>
        <w:gridCol w:w="4320"/>
        <w:gridCol w:w="4320"/>
      </w:tblGrid>
      <w:tr>
        <w:tc>
          <w:tcPr>
            <w:tcW w:type="dxa" w:w="680"/>
            <w:shd w:fill="00806A" w:val="clear"/>
          </w:tcPr>
          <w:p>
            <w:pPr>
              <w:jc w:val="center"/>
            </w:pPr>
            <w:r>
              <w:rPr>
                <w:rFonts w:ascii="Arial" w:hAnsi="Arial"/>
                <w:b/>
                <w:color w:val="FFFFFF"/>
                <w:sz w:val="20"/>
              </w:rPr>
              <w:t>Rule 14:</w:t>
              <w:br/>
              <w:t>Test Data and</w:t>
              <w:br/>
              <w:t>Environment</w:t>
            </w:r>
          </w:p>
        </w:tc>
        <w:tc>
          <w:tcPr>
            <w:tcW w:type="dxa" w:w="8504"/>
          </w:tcPr>
          <w:p>
            <w:pPr>
              <w:spacing w:before="120" w:after="120"/>
            </w:pPr>
            <w:r>
              <w:rPr>
                <w:rFonts w:ascii="Calibri" w:hAnsi="Calibri"/>
                <w:b/>
                <w:color w:val="00806A"/>
                <w:sz w:val="22"/>
              </w:rPr>
              <w:t>Test Data and Environment Setup</w:t>
            </w:r>
            <w:r>
              <w:br/>
            </w:r>
            <w:r>
              <w:rPr>
                <w:rFonts w:ascii="Calibri" w:hAnsi="Calibri"/>
                <w:sz w:val="20"/>
              </w:rPr>
              <w:t>Every Postman collection needs test data and environment variables. My rule is: create three environments in Postman: Local (for developer machines), Staging (for QA testing), and Production (read-only, for monitoring). Each environment has variables for base URL, authentication tokens, and test user credentials. Create a separate collection of "Setup" requests that creates test data before running the main tests.</w:t>
            </w:r>
            <w:r>
              <w:br/>
            </w:r>
            <w:r>
              <w:rPr>
                <w:rFonts w:ascii="Calibri" w:hAnsi="Calibri"/>
                <w:sz w:val="20"/>
              </w:rPr>
            </w:r>
            <w:r>
              <w:br/>
            </w:r>
            <w:r>
              <w:rPr>
                <w:rFonts w:ascii="Calibri" w:hAnsi="Calibri"/>
                <w:i/>
                <w:color w:val="687078"/>
                <w:sz w:val="20"/>
              </w:rPr>
              <w:t>Example: Setup request creates a test customer, a test order with 3 items, and a valid authorization token. The main test collection references these using Postman variables: {{base_url}}, {{auth_token}}, {{test_customer_id}}, {{test_order_id}}. This way, the same collection works across all environments without modification.</w:t>
            </w:r>
          </w:p>
        </w:tc>
      </w:tr>
    </w:tbl>
    <w:p/>
    <w:p>
      <w:pPr>
        <w:pStyle w:val="Heading1"/>
      </w:pPr>
      <w:r>
        <w:rPr>
          <w:color w:val="00806A"/>
        </w:rPr>
        <w:t>Part G: RICE Backlog Prioritization Rules</w:t>
      </w:r>
    </w:p>
    <w:p>
      <w:r>
        <w:t>The RICE framework prioritizes requirements using a scoring formula. This section covers how to estimate each factor, how to handle uncertainty, and how to present the results to stakeholders for approval.</w:t>
      </w:r>
    </w:p>
    <w:tbl>
      <w:tblPr>
        <w:tblW w:type="auto" w:w="0"/>
        <w:jc w:val="left"/>
        <w:tblLook w:firstColumn="1" w:firstRow="1" w:lastColumn="0" w:lastRow="0" w:noHBand="0" w:noVBand="1" w:val="04A0"/>
      </w:tblPr>
      <w:tblGrid>
        <w:gridCol w:w="4320"/>
        <w:gridCol w:w="4320"/>
      </w:tblGrid>
      <w:tr>
        <w:tc>
          <w:tcPr>
            <w:tcW w:type="dxa" w:w="680"/>
            <w:shd w:fill="00806A" w:val="clear"/>
          </w:tcPr>
          <w:p>
            <w:pPr>
              <w:jc w:val="center"/>
            </w:pPr>
            <w:r>
              <w:rPr>
                <w:rFonts w:ascii="Arial" w:hAnsi="Arial"/>
                <w:b/>
                <w:color w:val="FFFFFF"/>
                <w:sz w:val="20"/>
              </w:rPr>
              <w:t>Rule 15:</w:t>
              <w:br/>
              <w:t>RICE Estimation</w:t>
              <w:br/>
              <w:t>Approach</w:t>
            </w:r>
          </w:p>
        </w:tc>
        <w:tc>
          <w:tcPr>
            <w:tcW w:type="dxa" w:w="8504"/>
          </w:tcPr>
          <w:p>
            <w:pPr>
              <w:spacing w:before="120" w:after="120"/>
            </w:pPr>
            <w:r>
              <w:rPr>
                <w:rFonts w:ascii="Calibri" w:hAnsi="Calibri"/>
                <w:b/>
                <w:color w:val="00806A"/>
                <w:sz w:val="22"/>
              </w:rPr>
              <w:t>RICE Estimation Approach</w:t>
            </w:r>
            <w:r>
              <w:br/>
            </w:r>
            <w:r>
              <w:rPr>
                <w:rFonts w:ascii="Calibri" w:hAnsi="Calibri"/>
                <w:sz w:val="20"/>
              </w:rPr>
              <w:t>Never estimate RICE alone. Always involve at least the product owner and one developer. My rule is: the BA estimates Reach and Impact (business knowledge), the lead developer estimates Effort (technical knowledge), and Confidence is a joint discussion. Reach is measured in users or transactions per month. Impact is 1-5 scale (1 = minimal, 5 = massive). Confidence is a percentage (100% = certain, 50% = guess). Effort is in developer-weeks.</w:t>
            </w:r>
            <w:r>
              <w:br/>
            </w:r>
            <w:r>
              <w:rPr>
                <w:rFonts w:ascii="Calibri" w:hAnsi="Calibri"/>
                <w:sz w:val="20"/>
              </w:rPr>
            </w:r>
            <w:r>
              <w:br/>
            </w:r>
            <w:r>
              <w:rPr>
                <w:rFonts w:ascii="Calibri" w:hAnsi="Calibri"/>
                <w:i/>
                <w:color w:val="687078"/>
                <w:sz w:val="20"/>
              </w:rPr>
              <w:t>Example: US-001 (online return request) - Reach: 5000 customers/month (from analytics), Impact: 4 (eliminates manual paperwork and reduces processing time by 70%), Confidence: 80% (requirement is clear but traffic estimate may vary), Effort: 3 weeks (Tural estimate). RICE score: 5000 x 4 x 0.8 / 3 = 5333. US-012 (SMS notifications) - Reach: 5000, Impact: 2, Confidence: 70%, Effort: 1 week. RICE: 5000 x 2 x 0.7 / 1 = 7000. Higher score despite lower impact, due to low effort.</w:t>
            </w:r>
          </w:p>
        </w:tc>
      </w:tr>
    </w:tbl>
    <w:p/>
    <w:tbl>
      <w:tblPr>
        <w:tblW w:type="auto" w:w="0"/>
        <w:jc w:val="left"/>
        <w:tblLook w:firstColumn="1" w:firstRow="1" w:lastColumn="0" w:lastRow="0" w:noHBand="0" w:noVBand="1" w:val="04A0"/>
      </w:tblPr>
      <w:tblGrid>
        <w:gridCol w:w="4320"/>
        <w:gridCol w:w="4320"/>
      </w:tblGrid>
      <w:tr>
        <w:tc>
          <w:tcPr>
            <w:tcW w:type="dxa" w:w="680"/>
            <w:shd w:fill="00806A" w:val="clear"/>
          </w:tcPr>
          <w:p>
            <w:pPr>
              <w:jc w:val="center"/>
            </w:pPr>
            <w:r>
              <w:rPr>
                <w:rFonts w:ascii="Arial" w:hAnsi="Arial"/>
                <w:b/>
                <w:color w:val="FFFFFF"/>
                <w:sz w:val="20"/>
              </w:rPr>
              <w:t>Rule 16:</w:t>
              <w:br/>
              <w:t>Sprint Allocation</w:t>
              <w:br/>
              <w:t>from RICE</w:t>
            </w:r>
          </w:p>
        </w:tc>
        <w:tc>
          <w:tcPr>
            <w:tcW w:type="dxa" w:w="8504"/>
          </w:tcPr>
          <w:p>
            <w:pPr>
              <w:spacing w:before="120" w:after="120"/>
            </w:pPr>
            <w:r>
              <w:rPr>
                <w:rFonts w:ascii="Calibri" w:hAnsi="Calibri"/>
                <w:b/>
                <w:color w:val="00806A"/>
                <w:sz w:val="22"/>
              </w:rPr>
              <w:t>Sprint Allocation from RICE Scores</w:t>
            </w:r>
            <w:r>
              <w:br/>
            </w:r>
            <w:r>
              <w:rPr>
                <w:rFonts w:ascii="Calibri" w:hAnsi="Calibri"/>
                <w:sz w:val="20"/>
              </w:rPr>
              <w:t>After calculating RICE scores, sort all items from highest to lowest. Then allocate to sprints based on total team capacity. My rule is: fill each sprint to 80% capacity, not 100%. The remaining 20% is reserved for bug fixes, unplanned requests, and technical debt. Also, respect dependencies: even if a low-score item is needed by a high-score item, the low-score item goes first.</w:t>
            </w:r>
            <w:r>
              <w:br/>
            </w:r>
            <w:r>
              <w:rPr>
                <w:rFonts w:ascii="Calibri" w:hAnsi="Calibri"/>
                <w:sz w:val="20"/>
              </w:rPr>
            </w:r>
            <w:r>
              <w:br/>
            </w:r>
            <w:r>
              <w:rPr>
                <w:rFonts w:ascii="Calibri" w:hAnsi="Calibri"/>
                <w:i/>
                <w:color w:val="687078"/>
                <w:sz w:val="20"/>
              </w:rPr>
              <w:t>Example: Sprint 1 (10 developer-weeks capacity, fill to 8): US-001 (3 weeks, score 5333), US-002 (2 weeks, score 4200), US-003 (2 weeks, score 3800), US-012 (1 week, score 7000). Total: 8 weeks. US-012 jumps ahead because it scored high and fits the remaining capacity. Sprint 2: US-004 (3 weeks), US-005 (2 weeks), US-006 (2 weeks), US-007 (1 week). And so on.</w:t>
            </w:r>
          </w:p>
        </w:tc>
      </w:tr>
    </w:tbl>
    <w:p/>
    <w:p>
      <w:pPr>
        <w:pStyle w:val="Heading1"/>
      </w:pPr>
      <w:r>
        <w:rPr>
          <w:color w:val="00806A"/>
        </w:rPr>
        <w:t>Part H: SDLC Rules</w:t>
      </w:r>
    </w:p>
    <w:p>
      <w:r>
        <w:t>The SDLC document defines the project execution plan. This section covers the key decisions about methodology, sprint setup, meeting schedules, and tool selection.</w:t>
      </w:r>
    </w:p>
    <w:tbl>
      <w:tblPr>
        <w:tblW w:type="auto" w:w="0"/>
        <w:jc w:val="left"/>
        <w:tblLook w:firstColumn="1" w:firstRow="1" w:lastColumn="0" w:lastRow="0" w:noHBand="0" w:noVBand="1" w:val="04A0"/>
      </w:tblPr>
      <w:tblGrid>
        <w:gridCol w:w="4320"/>
        <w:gridCol w:w="4320"/>
      </w:tblGrid>
      <w:tr>
        <w:tc>
          <w:tcPr>
            <w:tcW w:type="dxa" w:w="680"/>
            <w:shd w:fill="00806A" w:val="clear"/>
          </w:tcPr>
          <w:p>
            <w:pPr>
              <w:jc w:val="center"/>
            </w:pPr>
            <w:r>
              <w:rPr>
                <w:rFonts w:ascii="Arial" w:hAnsi="Arial"/>
                <w:b/>
                <w:color w:val="FFFFFF"/>
                <w:sz w:val="20"/>
              </w:rPr>
              <w:t>Rule 17:</w:t>
              <w:br/>
              <w:t>Sprint and</w:t>
              <w:br/>
              <w:t>Ceremony Setup</w:t>
            </w:r>
          </w:p>
        </w:tc>
        <w:tc>
          <w:tcPr>
            <w:tcW w:type="dxa" w:w="8504"/>
          </w:tcPr>
          <w:p>
            <w:pPr>
              <w:spacing w:before="120" w:after="120"/>
            </w:pPr>
            <w:r>
              <w:rPr>
                <w:rFonts w:ascii="Calibri" w:hAnsi="Calibri"/>
                <w:b/>
                <w:color w:val="00806A"/>
                <w:sz w:val="22"/>
              </w:rPr>
              <w:t>Sprint and Ceremony Setup</w:t>
            </w:r>
            <w:r>
              <w:br/>
            </w:r>
            <w:r>
              <w:rPr>
                <w:rFonts w:ascii="Calibri" w:hAnsi="Calibri"/>
                <w:sz w:val="20"/>
              </w:rPr>
              <w:t>Use 2-week sprints. My rule is: Sprint Planning on Monday morning (first 2 hours), Daily Standup every morning (15 minutes, max), Sprint Review on Friday of sprint end (1 hour), Retrospective after Review (45 minutes). The BA attends all ceremonies. In Sprint Planning, the BA presents the next set of user stories and answers questions. In Daily Standup, the BA reports on document status and any new requirements from stakeholders. In Review, the BA checks if the demo matches the acceptance criteria.</w:t>
            </w:r>
            <w:r>
              <w:br/>
            </w:r>
            <w:r>
              <w:rPr>
                <w:rFonts w:ascii="Calibri" w:hAnsi="Calibri"/>
                <w:sz w:val="20"/>
              </w:rPr>
            </w:r>
            <w:r>
              <w:br/>
            </w:r>
            <w:r>
              <w:rPr>
                <w:rFonts w:ascii="Calibri" w:hAnsi="Calibri"/>
                <w:i/>
                <w:color w:val="687078"/>
                <w:sz w:val="20"/>
              </w:rPr>
              <w:t>Example: Sprint 1 starts March 24. Sprint Planning: BA presents US-001 to US-005 with FRD details. Tural asks about refund formula. BA shows FR-005 section. Team estimates and commits to 4 stories. Daily Standup: Day 2 - BA reports "Updated FR-003 based on Aysel feedback about email notifications."</w:t>
            </w:r>
          </w:p>
        </w:tc>
      </w:tr>
    </w:tbl>
    <w:p/>
    <w:tbl>
      <w:tblPr>
        <w:tblW w:type="auto" w:w="0"/>
        <w:jc w:val="left"/>
        <w:tblLook w:firstColumn="1" w:firstRow="1" w:lastColumn="0" w:lastRow="0" w:noHBand="0" w:noVBand="1" w:val="04A0"/>
      </w:tblPr>
      <w:tblGrid>
        <w:gridCol w:w="4320"/>
        <w:gridCol w:w="4320"/>
      </w:tblGrid>
      <w:tr>
        <w:tc>
          <w:tcPr>
            <w:tcW w:type="dxa" w:w="680"/>
            <w:shd w:fill="00806A" w:val="clear"/>
          </w:tcPr>
          <w:p>
            <w:pPr>
              <w:jc w:val="center"/>
            </w:pPr>
            <w:r>
              <w:rPr>
                <w:rFonts w:ascii="Arial" w:hAnsi="Arial"/>
                <w:b/>
                <w:color w:val="FFFFFF"/>
                <w:sz w:val="20"/>
              </w:rPr>
              <w:t>Rule 18:</w:t>
              <w:br/>
              <w:t>Tool and</w:t>
              <w:br/>
              <w:t>Process Selection</w:t>
            </w:r>
          </w:p>
        </w:tc>
        <w:tc>
          <w:tcPr>
            <w:tcW w:type="dxa" w:w="8504"/>
          </w:tcPr>
          <w:p>
            <w:pPr>
              <w:spacing w:before="120" w:after="120"/>
            </w:pPr>
            <w:r>
              <w:rPr>
                <w:rFonts w:ascii="Calibri" w:hAnsi="Calibri"/>
                <w:b/>
                <w:color w:val="00806A"/>
                <w:sz w:val="22"/>
              </w:rPr>
              <w:t>Tool and Process Selection</w:t>
            </w:r>
            <w:r>
              <w:br/>
            </w:r>
            <w:r>
              <w:rPr>
                <w:rFonts w:ascii="Calibri" w:hAnsi="Calibri"/>
                <w:sz w:val="20"/>
              </w:rPr>
              <w:t>Use the tools the company already uses. Do not propose new tools unless the existing ones cannot do the job. My rule is: the BA must be proficient in the company toolset before the project starts. If the company uses Jira, learn Jira. If they use Trello, learn Trello. The BA also needs to maintain a Requirements Traceability Matrix in whatever tool the team uses, linking each user story to its BRD requirement, FRD section, API endpoint, and test case.</w:t>
            </w:r>
            <w:r>
              <w:br/>
            </w:r>
            <w:r>
              <w:rPr>
                <w:rFonts w:ascii="Calibri" w:hAnsi="Calibri"/>
                <w:sz w:val="20"/>
              </w:rPr>
            </w:r>
            <w:r>
              <w:br/>
            </w:r>
            <w:r>
              <w:rPr>
                <w:rFonts w:ascii="Calibri" w:hAnsi="Calibri"/>
                <w:i/>
                <w:color w:val="687078"/>
                <w:sz w:val="20"/>
              </w:rPr>
              <w:t>Example: Kontakt Home uses Jira for task tracking, Confluence for documentation, Bitbucket for code. I create an epic called "Return Management System" with stories linked to BRD requirements. Each story has custom fields: BR Reference (BR-001), FR Reference (FR-001), API Endpoint (POST /api/v1/returns), and Test Cases (link to Postman collection). This traceability allows anyone to trace from business need to code to test.</w:t>
            </w:r>
          </w:p>
        </w:tc>
      </w:tr>
    </w:tbl>
    <w:p/>
    <w:p>
      <w:pPr>
        <w:pStyle w:val="Heading1"/>
      </w:pPr>
      <w:r>
        <w:rPr>
          <w:color w:val="00806A"/>
        </w:rPr>
        <w:t>Part I: UAT Planning Rules</w:t>
      </w:r>
    </w:p>
    <w:p>
      <w:r>
        <w:t>User Acceptance Testing is the final gate before production deployment. Business users test the system and confirm it meets their needs. This section covers how to select UAT participants, how to create test scenarios, and how to define pass/fail criteria.</w:t>
      </w:r>
    </w:p>
    <w:tbl>
      <w:tblPr>
        <w:tblW w:type="auto" w:w="0"/>
        <w:jc w:val="left"/>
        <w:tblLook w:firstColumn="1" w:firstRow="1" w:lastColumn="0" w:lastRow="0" w:noHBand="0" w:noVBand="1" w:val="04A0"/>
      </w:tblPr>
      <w:tblGrid>
        <w:gridCol w:w="4320"/>
        <w:gridCol w:w="4320"/>
      </w:tblGrid>
      <w:tr>
        <w:tc>
          <w:tcPr>
            <w:tcW w:type="dxa" w:w="680"/>
            <w:shd w:fill="00806A" w:val="clear"/>
          </w:tcPr>
          <w:p>
            <w:pPr>
              <w:jc w:val="center"/>
            </w:pPr>
            <w:r>
              <w:rPr>
                <w:rFonts w:ascii="Arial" w:hAnsi="Arial"/>
                <w:b/>
                <w:color w:val="FFFFFF"/>
                <w:sz w:val="20"/>
              </w:rPr>
              <w:t>Rule 19:</w:t>
              <w:br/>
              <w:t>UAT Participant</w:t>
              <w:br/>
              <w:t>Selection</w:t>
            </w:r>
          </w:p>
        </w:tc>
        <w:tc>
          <w:tcPr>
            <w:tcW w:type="dxa" w:w="8504"/>
          </w:tcPr>
          <w:p>
            <w:pPr>
              <w:spacing w:before="120" w:after="120"/>
            </w:pPr>
            <w:r>
              <w:rPr>
                <w:rFonts w:ascii="Calibri" w:hAnsi="Calibri"/>
                <w:b/>
                <w:color w:val="00806A"/>
                <w:sz w:val="22"/>
              </w:rPr>
              <w:t>UAT Participant Selection</w:t>
            </w:r>
            <w:r>
              <w:br/>
            </w:r>
            <w:r>
              <w:rPr>
                <w:rFonts w:ascii="Calibri" w:hAnsi="Calibri"/>
                <w:sz w:val="20"/>
              </w:rPr>
              <w:t>UAT testers are the actual business users, not QA engineers. My rule is: invite the same stakeholders you interviewed in Phase 1. They know the pain points and they know what "good" looks like. Select at least one tester from each user group: store manager, warehouse supervisor, customer support agent, finance officer, and area manager. Each tester needs a specific test script that covers their daily tasks.</w:t>
            </w:r>
            <w:r>
              <w:br/>
            </w:r>
            <w:r>
              <w:rPr>
                <w:rFonts w:ascii="Calibri" w:hAnsi="Calibri"/>
                <w:sz w:val="20"/>
              </w:rPr>
            </w:r>
            <w:r>
              <w:br/>
            </w:r>
            <w:r>
              <w:rPr>
                <w:rFonts w:ascii="Calibri" w:hAnsi="Calibri"/>
                <w:i/>
                <w:color w:val="687078"/>
                <w:sz w:val="20"/>
              </w:rPr>
              <w:t>Example: Leyla (store manager) tests: customer brings product, she scans barcode, return request is created, she sees approval status, she confirms warehouse pickup. Samir (warehouse supervisor) tests: he receives pickup notification, he confirms receipt, he updates item condition, system shows refund triggered. Each tester has 5-8 scenarios matching their real work.</w:t>
            </w:r>
          </w:p>
        </w:tc>
      </w:tr>
    </w:tbl>
    <w:p/>
    <w:tbl>
      <w:tblPr>
        <w:tblW w:type="auto" w:w="0"/>
        <w:jc w:val="left"/>
        <w:tblLook w:firstColumn="1" w:firstRow="1" w:lastColumn="0" w:lastRow="0" w:noHBand="0" w:noVBand="1" w:val="04A0"/>
      </w:tblPr>
      <w:tblGrid>
        <w:gridCol w:w="4320"/>
        <w:gridCol w:w="4320"/>
      </w:tblGrid>
      <w:tr>
        <w:tc>
          <w:tcPr>
            <w:tcW w:type="dxa" w:w="680"/>
            <w:shd w:fill="00806A" w:val="clear"/>
          </w:tcPr>
          <w:p>
            <w:pPr>
              <w:jc w:val="center"/>
            </w:pPr>
            <w:r>
              <w:rPr>
                <w:rFonts w:ascii="Arial" w:hAnsi="Arial"/>
                <w:b/>
                <w:color w:val="FFFFFF"/>
                <w:sz w:val="20"/>
              </w:rPr>
              <w:t>Rule 20:</w:t>
              <w:br/>
              <w:t>UAT Pass/Fail</w:t>
              <w:br/>
              <w:t>Criteria</w:t>
            </w:r>
          </w:p>
        </w:tc>
        <w:tc>
          <w:tcPr>
            <w:tcW w:type="dxa" w:w="8504"/>
          </w:tcPr>
          <w:p>
            <w:pPr>
              <w:spacing w:before="120" w:after="120"/>
            </w:pPr>
            <w:r>
              <w:rPr>
                <w:rFonts w:ascii="Calibri" w:hAnsi="Calibri"/>
                <w:b/>
                <w:color w:val="00806A"/>
                <w:sz w:val="22"/>
              </w:rPr>
              <w:t>UAT Pass/Fail Criteria and Defect Handling</w:t>
            </w:r>
            <w:r>
              <w:br/>
            </w:r>
            <w:r>
              <w:rPr>
                <w:rFonts w:ascii="Calibri" w:hAnsi="Calibri"/>
                <w:sz w:val="20"/>
              </w:rPr>
              <w:t>Define clear pass/fail criteria before UAT starts. My rule is: a scenario passes if the tester can complete the task without workarounds and the result matches the acceptance criteria. A scenario fails if the tester cannot complete the task, or the result is incorrect, or the tester needs a workaround. Classify defects into four levels: Critical (system unusable, blocks testing), High (major feature broken), Medium (feature works but with issues), Low (cosmetic or minor inconvenience).</w:t>
            </w:r>
            <w:r>
              <w:br/>
            </w:r>
            <w:r>
              <w:rPr>
                <w:rFonts w:ascii="Calibri" w:hAnsi="Calibri"/>
                <w:sz w:val="20"/>
              </w:rPr>
            </w:r>
            <w:r>
              <w:br/>
            </w:r>
            <w:r>
              <w:rPr>
                <w:rFonts w:ascii="Calibri" w:hAnsi="Calibri"/>
                <w:i/>
                <w:color w:val="687078"/>
                <w:sz w:val="20"/>
              </w:rPr>
              <w:t>Example: UAT runs for 5 business days. Day 1-2: smoke test (all critical paths). Day 3-4: detailed scenarios. Day 5: re-test fixed defects. Pass criteria: all Critical and High defects resolved, 90% of scenarios pass, all 5 user groups signed off. If Leyla says "The return approval takes 5 clicks instead of 2, this is slower than the current paper process," this is a High defect because it fails the efficiency requirement.</w:t>
            </w:r>
          </w:p>
        </w:tc>
      </w:tr>
    </w:tbl>
    <w:p/>
    <w:p>
      <w:pPr>
        <w:pStyle w:val="Heading1"/>
      </w:pPr>
      <w:r>
        <w:rPr>
          <w:color w:val="00806A"/>
        </w:rPr>
        <w:t>Part J: Phase 2 Timeline</w:t>
      </w:r>
    </w:p>
    <w:p>
      <w:r>
        <w:t>This is a quick reference for the typical timeline of Phase 2. The actual timeline may vary depending on the project size, team availability, and complexity. This timeline assumes the project uses 2-week sprints and the BA works full-time on the project.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806A" w:val="clear"/>
          </w:tcPr>
          <w:p>
            <w:r>
              <w:rPr>
                <w:rFonts w:ascii="Calibri" w:hAnsi="Calibri"/>
                <w:b/>
                <w:color w:val="FFFFFF"/>
                <w:sz w:val="18"/>
              </w:rPr>
              <w:t>Week</w:t>
            </w:r>
          </w:p>
        </w:tc>
        <w:tc>
          <w:tcPr>
            <w:tcW w:type="dxa" w:w="2160"/>
            <w:shd w:fill="00806A" w:val="clear"/>
          </w:tcPr>
          <w:p>
            <w:r>
              <w:rPr>
                <w:rFonts w:ascii="Calibri" w:hAnsi="Calibri"/>
                <w:b/>
                <w:color w:val="FFFFFF"/>
                <w:sz w:val="18"/>
              </w:rPr>
              <w:t>Activity</w:t>
            </w:r>
          </w:p>
        </w:tc>
        <w:tc>
          <w:tcPr>
            <w:tcW w:type="dxa" w:w="2160"/>
            <w:shd w:fill="00806A" w:val="clear"/>
          </w:tcPr>
          <w:p>
            <w:r>
              <w:rPr>
                <w:rFonts w:ascii="Calibri" w:hAnsi="Calibri"/>
                <w:b/>
                <w:color w:val="FFFFFF"/>
                <w:sz w:val="18"/>
              </w:rPr>
              <w:t>Output</w:t>
            </w:r>
          </w:p>
        </w:tc>
        <w:tc>
          <w:tcPr>
            <w:tcW w:type="dxa" w:w="2160"/>
            <w:shd w:fill="00806A" w:val="clear"/>
          </w:tcPr>
          <w:p>
            <w:r>
              <w:rPr>
                <w:rFonts w:ascii="Calibri" w:hAnsi="Calibri"/>
                <w:b/>
                <w:color w:val="FFFFFF"/>
                <w:sz w:val="18"/>
              </w:rPr>
              <w:t>Key Action</w:t>
            </w:r>
          </w:p>
        </w:tc>
      </w:tr>
      <w:tr>
        <w:tc>
          <w:tcPr>
            <w:tcW w:type="dxa" w:w="2160"/>
          </w:tcPr>
          <w:p>
            <w:r>
              <w:rPr>
                <w:rFonts w:ascii="Calibri" w:hAnsi="Calibri"/>
                <w:b/>
                <w:color w:val="00806A"/>
                <w:sz w:val="18"/>
              </w:rPr>
              <w:t>1-2</w:t>
            </w:r>
          </w:p>
        </w:tc>
        <w:tc>
          <w:tcPr>
            <w:tcW w:type="dxa" w:w="2160"/>
          </w:tcPr>
          <w:p>
            <w:r>
              <w:rPr>
                <w:rFonts w:ascii="Calibri" w:hAnsi="Calibri"/>
                <w:sz w:val="18"/>
              </w:rPr>
              <w:t>Write SRS based on approved BRD</w:t>
            </w:r>
          </w:p>
        </w:tc>
        <w:tc>
          <w:tcPr>
            <w:tcW w:type="dxa" w:w="2160"/>
          </w:tcPr>
          <w:p>
            <w:r>
              <w:rPr>
                <w:rFonts w:ascii="Calibri" w:hAnsi="Calibri"/>
                <w:sz w:val="18"/>
              </w:rPr>
              <w:t>SRS (complete)</w:t>
            </w:r>
          </w:p>
        </w:tc>
        <w:tc>
          <w:tcPr>
            <w:tcW w:type="dxa" w:w="2160"/>
          </w:tcPr>
          <w:p>
            <w:r>
              <w:rPr>
                <w:rFonts w:ascii="Calibri" w:hAnsi="Calibri"/>
                <w:sz w:val="18"/>
              </w:rPr>
              <w:t>Translate each BR into SR. Add NFRs. Set up traceability.</w:t>
            </w:r>
          </w:p>
        </w:tc>
      </w:tr>
      <w:tr>
        <w:tc>
          <w:tcPr>
            <w:tcW w:type="dxa" w:w="2160"/>
          </w:tcPr>
          <w:p>
            <w:r>
              <w:rPr>
                <w:rFonts w:ascii="Calibri" w:hAnsi="Calibri"/>
                <w:b/>
                <w:color w:val="00806A"/>
                <w:sz w:val="18"/>
              </w:rPr>
              <w:t>2-3</w:t>
            </w:r>
          </w:p>
        </w:tc>
        <w:tc>
          <w:tcPr>
            <w:tcW w:type="dxa" w:w="2160"/>
          </w:tcPr>
          <w:p>
            <w:r>
              <w:rPr>
                <w:rFonts w:ascii="Calibri" w:hAnsi="Calibri"/>
                <w:sz w:val="18"/>
              </w:rPr>
              <w:t>Write FRD with lead developer</w:t>
            </w:r>
          </w:p>
        </w:tc>
        <w:tc>
          <w:tcPr>
            <w:tcW w:type="dxa" w:w="2160"/>
          </w:tcPr>
          <w:p>
            <w:r>
              <w:rPr>
                <w:rFonts w:ascii="Calibri" w:hAnsi="Calibri"/>
                <w:sz w:val="18"/>
              </w:rPr>
              <w:t>FRD (complete)</w:t>
            </w:r>
          </w:p>
        </w:tc>
        <w:tc>
          <w:tcPr>
            <w:tcW w:type="dxa" w:w="2160"/>
          </w:tcPr>
          <w:p>
            <w:r>
              <w:rPr>
                <w:rFonts w:ascii="Calibri" w:hAnsi="Calibri"/>
                <w:sz w:val="18"/>
              </w:rPr>
              <w:t>Sit with Tural. Define every scenario. Write business logic formulas.</w:t>
            </w:r>
          </w:p>
        </w:tc>
      </w:tr>
      <w:tr>
        <w:tc>
          <w:tcPr>
            <w:tcW w:type="dxa" w:w="2160"/>
          </w:tcPr>
          <w:p>
            <w:r>
              <w:rPr>
                <w:rFonts w:ascii="Calibri" w:hAnsi="Calibri"/>
                <w:b/>
                <w:color w:val="00806A"/>
                <w:sz w:val="18"/>
              </w:rPr>
              <w:t>3</w:t>
            </w:r>
          </w:p>
        </w:tc>
        <w:tc>
          <w:tcPr>
            <w:tcW w:type="dxa" w:w="2160"/>
          </w:tcPr>
          <w:p>
            <w:r>
              <w:rPr>
                <w:rFonts w:ascii="Calibri" w:hAnsi="Calibri"/>
                <w:sz w:val="18"/>
              </w:rPr>
              <w:t>Conduct System Design workshop</w:t>
            </w:r>
          </w:p>
        </w:tc>
        <w:tc>
          <w:tcPr>
            <w:tcW w:type="dxa" w:w="2160"/>
          </w:tcPr>
          <w:p>
            <w:r>
              <w:rPr>
                <w:rFonts w:ascii="Calibri" w:hAnsi="Calibri"/>
                <w:sz w:val="18"/>
              </w:rPr>
              <w:t>System Design document</w:t>
            </w:r>
          </w:p>
        </w:tc>
        <w:tc>
          <w:tcPr>
            <w:tcW w:type="dxa" w:w="2160"/>
          </w:tcPr>
          <w:p>
            <w:r>
              <w:rPr>
                <w:rFonts w:ascii="Calibri" w:hAnsi="Calibri"/>
                <w:sz w:val="18"/>
              </w:rPr>
              <w:t>Facilitate workshop. Document all decisions with rationale.</w:t>
            </w:r>
          </w:p>
        </w:tc>
      </w:tr>
      <w:tr>
        <w:tc>
          <w:tcPr>
            <w:tcW w:type="dxa" w:w="2160"/>
          </w:tcPr>
          <w:p>
            <w:r>
              <w:rPr>
                <w:rFonts w:ascii="Calibri" w:hAnsi="Calibri"/>
                <w:b/>
                <w:color w:val="00806A"/>
                <w:sz w:val="18"/>
              </w:rPr>
              <w:t>3-4</w:t>
            </w:r>
          </w:p>
        </w:tc>
        <w:tc>
          <w:tcPr>
            <w:tcW w:type="dxa" w:w="2160"/>
          </w:tcPr>
          <w:p>
            <w:r>
              <w:rPr>
                <w:rFonts w:ascii="Calibri" w:hAnsi="Calibri"/>
                <w:sz w:val="18"/>
              </w:rPr>
              <w:t>Write REST API JSON Specification</w:t>
            </w:r>
          </w:p>
        </w:tc>
        <w:tc>
          <w:tcPr>
            <w:tcW w:type="dxa" w:w="2160"/>
          </w:tcPr>
          <w:p>
            <w:r>
              <w:rPr>
                <w:rFonts w:ascii="Calibri" w:hAnsi="Calibri"/>
                <w:sz w:val="18"/>
              </w:rPr>
              <w:t>REST API Spec</w:t>
            </w:r>
          </w:p>
        </w:tc>
        <w:tc>
          <w:tcPr>
            <w:tcW w:type="dxa" w:w="2160"/>
          </w:tcPr>
          <w:p>
            <w:r>
              <w:rPr>
                <w:rFonts w:ascii="Calibri" w:hAnsi="Calibri"/>
                <w:sz w:val="18"/>
              </w:rPr>
              <w:t>Map every US to endpoints. Define JSON structures for request/response.</w:t>
            </w:r>
          </w:p>
        </w:tc>
      </w:tr>
      <w:tr>
        <w:tc>
          <w:tcPr>
            <w:tcW w:type="dxa" w:w="2160"/>
          </w:tcPr>
          <w:p>
            <w:r>
              <w:rPr>
                <w:rFonts w:ascii="Calibri" w:hAnsi="Calibri"/>
                <w:b/>
                <w:color w:val="00806A"/>
                <w:sz w:val="18"/>
              </w:rPr>
              <w:t>4</w:t>
            </w:r>
          </w:p>
        </w:tc>
        <w:tc>
          <w:tcPr>
            <w:tcW w:type="dxa" w:w="2160"/>
          </w:tcPr>
          <w:p>
            <w:r>
              <w:rPr>
                <w:rFonts w:ascii="Calibri" w:hAnsi="Calibri"/>
                <w:sz w:val="18"/>
              </w:rPr>
              <w:t>Create Swagger/OpenAPI Specification</w:t>
            </w:r>
          </w:p>
        </w:tc>
        <w:tc>
          <w:tcPr>
            <w:tcW w:type="dxa" w:w="2160"/>
          </w:tcPr>
          <w:p>
            <w:r>
              <w:rPr>
                <w:rFonts w:ascii="Calibri" w:hAnsi="Calibri"/>
                <w:sz w:val="18"/>
              </w:rPr>
              <w:t>OpenAPI YAML file</w:t>
            </w:r>
          </w:p>
        </w:tc>
        <w:tc>
          <w:tcPr>
            <w:tcW w:type="dxa" w:w="2160"/>
          </w:tcPr>
          <w:p>
            <w:r>
              <w:rPr>
                <w:rFonts w:ascii="Calibri" w:hAnsi="Calibri"/>
                <w:sz w:val="18"/>
              </w:rPr>
              <w:t>Convert REST API Spec to machine-readable format. Import into tools.</w:t>
            </w:r>
          </w:p>
        </w:tc>
      </w:tr>
      <w:tr>
        <w:tc>
          <w:tcPr>
            <w:tcW w:type="dxa" w:w="2160"/>
          </w:tcPr>
          <w:p>
            <w:r>
              <w:rPr>
                <w:rFonts w:ascii="Calibri" w:hAnsi="Calibri"/>
                <w:b/>
                <w:color w:val="00806A"/>
                <w:sz w:val="18"/>
              </w:rPr>
              <w:t>4-5</w:t>
            </w:r>
          </w:p>
        </w:tc>
        <w:tc>
          <w:tcPr>
            <w:tcW w:type="dxa" w:w="2160"/>
          </w:tcPr>
          <w:p>
            <w:r>
              <w:rPr>
                <w:rFonts w:ascii="Calibri" w:hAnsi="Calibri"/>
                <w:sz w:val="18"/>
              </w:rPr>
              <w:t>Create Postman API Testing collection</w:t>
            </w:r>
          </w:p>
        </w:tc>
        <w:tc>
          <w:tcPr>
            <w:tcW w:type="dxa" w:w="2160"/>
          </w:tcPr>
          <w:p>
            <w:r>
              <w:rPr>
                <w:rFonts w:ascii="Calibri" w:hAnsi="Calibri"/>
                <w:sz w:val="18"/>
              </w:rPr>
              <w:t>Postman collection + test cases</w:t>
            </w:r>
          </w:p>
        </w:tc>
        <w:tc>
          <w:tcPr>
            <w:tcW w:type="dxa" w:w="2160"/>
          </w:tcPr>
          <w:p>
            <w:r>
              <w:rPr>
                <w:rFonts w:ascii="Calibri" w:hAnsi="Calibri"/>
                <w:sz w:val="18"/>
              </w:rPr>
              <w:t>Write 5+ tests per endpoint. Set up environments and test data.</w:t>
            </w:r>
          </w:p>
        </w:tc>
      </w:tr>
      <w:tr>
        <w:tc>
          <w:tcPr>
            <w:tcW w:type="dxa" w:w="2160"/>
          </w:tcPr>
          <w:p>
            <w:r>
              <w:rPr>
                <w:rFonts w:ascii="Calibri" w:hAnsi="Calibri"/>
                <w:b/>
                <w:color w:val="00806A"/>
                <w:sz w:val="18"/>
              </w:rPr>
              <w:t>3-5</w:t>
            </w:r>
          </w:p>
        </w:tc>
        <w:tc>
          <w:tcPr>
            <w:tcW w:type="dxa" w:w="2160"/>
          </w:tcPr>
          <w:p>
            <w:r>
              <w:rPr>
                <w:rFonts w:ascii="Calibri" w:hAnsi="Calibri"/>
                <w:sz w:val="18"/>
              </w:rPr>
              <w:t>Conduct RICE prioritization</w:t>
            </w:r>
          </w:p>
        </w:tc>
        <w:tc>
          <w:tcPr>
            <w:tcW w:type="dxa" w:w="2160"/>
          </w:tcPr>
          <w:p>
            <w:r>
              <w:rPr>
                <w:rFonts w:ascii="Calibri" w:hAnsi="Calibri"/>
                <w:sz w:val="18"/>
              </w:rPr>
              <w:t>Prioritized backlog</w:t>
            </w:r>
          </w:p>
        </w:tc>
        <w:tc>
          <w:tcPr>
            <w:tcW w:type="dxa" w:w="2160"/>
          </w:tcPr>
          <w:p>
            <w:r>
              <w:rPr>
                <w:rFonts w:ascii="Calibri" w:hAnsi="Calibri"/>
                <w:sz w:val="18"/>
              </w:rPr>
              <w:t>Score all items. Allocate to sprints. Get stakeholder approval.</w:t>
            </w:r>
          </w:p>
        </w:tc>
      </w:tr>
      <w:tr>
        <w:tc>
          <w:tcPr>
            <w:tcW w:type="dxa" w:w="2160"/>
          </w:tcPr>
          <w:p>
            <w:r>
              <w:rPr>
                <w:rFonts w:ascii="Calibri" w:hAnsi="Calibri"/>
                <w:b/>
                <w:color w:val="00806A"/>
                <w:sz w:val="18"/>
              </w:rPr>
              <w:t>4</w:t>
            </w:r>
          </w:p>
        </w:tc>
        <w:tc>
          <w:tcPr>
            <w:tcW w:type="dxa" w:w="2160"/>
          </w:tcPr>
          <w:p>
            <w:r>
              <w:rPr>
                <w:rFonts w:ascii="Calibri" w:hAnsi="Calibri"/>
                <w:sz w:val="18"/>
              </w:rPr>
              <w:t>Define SDLC and sprint plan</w:t>
            </w:r>
          </w:p>
        </w:tc>
        <w:tc>
          <w:tcPr>
            <w:tcW w:type="dxa" w:w="2160"/>
          </w:tcPr>
          <w:p>
            <w:r>
              <w:rPr>
                <w:rFonts w:ascii="Calibri" w:hAnsi="Calibri"/>
                <w:sz w:val="18"/>
              </w:rPr>
              <w:t>SDLC document</w:t>
            </w:r>
          </w:p>
        </w:tc>
        <w:tc>
          <w:tcPr>
            <w:tcW w:type="dxa" w:w="2160"/>
          </w:tcPr>
          <w:p>
            <w:r>
              <w:rPr>
                <w:rFonts w:ascii="Calibri" w:hAnsi="Calibri"/>
                <w:sz w:val="18"/>
              </w:rPr>
              <w:t>Set up ceremonies, tools, roles, and timeline.</w:t>
            </w:r>
          </w:p>
        </w:tc>
      </w:tr>
      <w:tr>
        <w:tc>
          <w:tcPr>
            <w:tcW w:type="dxa" w:w="2160"/>
          </w:tcPr>
          <w:p>
            <w:r>
              <w:rPr>
                <w:rFonts w:ascii="Calibri" w:hAnsi="Calibri"/>
                <w:b/>
                <w:color w:val="00806A"/>
                <w:sz w:val="18"/>
              </w:rPr>
              <w:t>5</w:t>
            </w:r>
          </w:p>
        </w:tc>
        <w:tc>
          <w:tcPr>
            <w:tcW w:type="dxa" w:w="2160"/>
          </w:tcPr>
          <w:p>
            <w:r>
              <w:rPr>
                <w:rFonts w:ascii="Calibri" w:hAnsi="Calibri"/>
                <w:sz w:val="18"/>
              </w:rPr>
              <w:t>Create UAT plan and test scripts</w:t>
            </w:r>
          </w:p>
        </w:tc>
        <w:tc>
          <w:tcPr>
            <w:tcW w:type="dxa" w:w="2160"/>
          </w:tcPr>
          <w:p>
            <w:r>
              <w:rPr>
                <w:rFonts w:ascii="Calibri" w:hAnsi="Calibri"/>
                <w:sz w:val="18"/>
              </w:rPr>
              <w:t>UAT Plan</w:t>
            </w:r>
          </w:p>
        </w:tc>
        <w:tc>
          <w:tcPr>
            <w:tcW w:type="dxa" w:w="2160"/>
          </w:tcPr>
          <w:p>
            <w:r>
              <w:rPr>
                <w:rFonts w:ascii="Calibri" w:hAnsi="Calibri"/>
                <w:sz w:val="18"/>
              </w:rPr>
              <w:t>Select testers. Write scenarios based on AC and FRD. Define pass/fail criteria.</w:t>
            </w:r>
          </w:p>
        </w:tc>
      </w:tr>
      <w:tr>
        <w:tc>
          <w:tcPr>
            <w:tcW w:type="dxa" w:w="2160"/>
          </w:tcPr>
          <w:p>
            <w:r>
              <w:rPr>
                <w:rFonts w:ascii="Calibri" w:hAnsi="Calibri"/>
                <w:b/>
                <w:color w:val="00806A"/>
                <w:sz w:val="18"/>
              </w:rPr>
              <w:t>5</w:t>
            </w:r>
          </w:p>
        </w:tc>
        <w:tc>
          <w:tcPr>
            <w:tcW w:type="dxa" w:w="2160"/>
          </w:tcPr>
          <w:p>
            <w:r>
              <w:rPr>
                <w:rFonts w:ascii="Calibri" w:hAnsi="Calibri"/>
                <w:sz w:val="18"/>
              </w:rPr>
              <w:t>Hand off to development team</w:t>
            </w:r>
          </w:p>
        </w:tc>
        <w:tc>
          <w:tcPr>
            <w:tcW w:type="dxa" w:w="2160"/>
          </w:tcPr>
          <w:p>
            <w:r>
              <w:rPr>
                <w:rFonts w:ascii="Calibri" w:hAnsi="Calibri"/>
                <w:sz w:val="18"/>
              </w:rPr>
              <w:t>All Phase 2 documents</w:t>
            </w:r>
          </w:p>
        </w:tc>
        <w:tc>
          <w:tcPr>
            <w:tcW w:type="dxa" w:w="2160"/>
          </w:tcPr>
          <w:p>
            <w:r>
              <w:rPr>
                <w:rFonts w:ascii="Calibri" w:hAnsi="Calibri"/>
                <w:sz w:val="18"/>
              </w:rPr>
              <w:t>Sprint 1 begins. BA shifts to support role during development.</w:t>
            </w:r>
          </w:p>
        </w:tc>
      </w:tr>
    </w:tbl>
    <w:p/>
    <w:p>
      <w:pPr>
        <w:pStyle w:val="Heading1"/>
      </w:pPr>
      <w:r>
        <w:rPr>
          <w:color w:val="00806A"/>
        </w:rPr>
        <w:t>Part K: Quick Memory Checklist</w:t>
      </w:r>
    </w:p>
    <w:p>
      <w:r>
        <w:t>Use this checklist before the interview to quickly recall the most important Phase 2 decision rules. Each item is a short reminder. The detailed rules are in the sections above.</w:t>
      </w:r>
    </w:p>
    <w:tbl>
      <w:tblPr>
        <w:tblStyle w:val="TableGrid"/>
        <w:tblW w:type="auto" w:w="0"/>
        <w:jc w:val="center"/>
        <w:tblLook w:firstColumn="1" w:firstRow="1" w:lastColumn="0" w:lastRow="0" w:noHBand="0" w:noVBand="1" w:val="04A0"/>
      </w:tblPr>
      <w:tblGrid>
        <w:gridCol w:w="4320"/>
        <w:gridCol w:w="4320"/>
      </w:tblGrid>
      <w:tr>
        <w:tc>
          <w:tcPr>
            <w:tcW w:type="dxa" w:w="4320"/>
            <w:shd w:fill="00806A" w:val="clear"/>
          </w:tcPr>
          <w:p>
            <w:r>
              <w:rPr>
                <w:rFonts w:ascii="Calibri" w:hAnsi="Calibri"/>
                <w:b/>
                <w:color w:val="FFFFFF"/>
                <w:sz w:val="18"/>
              </w:rPr>
              <w:t>Topic</w:t>
            </w:r>
          </w:p>
        </w:tc>
        <w:tc>
          <w:tcPr>
            <w:tcW w:type="dxa" w:w="4320"/>
            <w:shd w:fill="00806A" w:val="clear"/>
          </w:tcPr>
          <w:p>
            <w:r>
              <w:rPr>
                <w:rFonts w:ascii="Calibri" w:hAnsi="Calibri"/>
                <w:b/>
                <w:color w:val="FFFFFF"/>
                <w:sz w:val="18"/>
              </w:rPr>
              <w:t>Remember</w:t>
            </w:r>
          </w:p>
        </w:tc>
      </w:tr>
      <w:tr>
        <w:tc>
          <w:tcPr>
            <w:tcW w:type="dxa" w:w="4320"/>
          </w:tcPr>
          <w:p>
            <w:r>
              <w:rPr>
                <w:rFonts w:ascii="Calibri" w:hAnsi="Calibri"/>
                <w:b/>
                <w:color w:val="00806A"/>
                <w:sz w:val="18"/>
              </w:rPr>
              <w:t>SRS Granularity</w:t>
            </w:r>
          </w:p>
        </w:tc>
        <w:tc>
          <w:tcPr>
            <w:tcW w:type="dxa" w:w="4320"/>
          </w:tcPr>
          <w:p>
            <w:r>
              <w:rPr>
                <w:rFonts w:ascii="Calibri" w:hAnsi="Calibri"/>
                <w:sz w:val="18"/>
              </w:rPr>
              <w:t>Developer knows WHAT to build but still decides HOW. Not too vague, not too detailed.</w:t>
            </w:r>
          </w:p>
        </w:tc>
      </w:tr>
      <w:tr>
        <w:tc>
          <w:tcPr>
            <w:tcW w:type="dxa" w:w="4320"/>
          </w:tcPr>
          <w:p>
            <w:r>
              <w:rPr>
                <w:rFonts w:ascii="Calibri" w:hAnsi="Calibri"/>
                <w:b/>
                <w:color w:val="00806A"/>
                <w:sz w:val="18"/>
              </w:rPr>
              <w:t>Non-Functional Reqs</w:t>
            </w:r>
          </w:p>
        </w:tc>
        <w:tc>
          <w:tcPr>
            <w:tcW w:type="dxa" w:w="4320"/>
          </w:tcPr>
          <w:p>
            <w:r>
              <w:rPr>
                <w:rFonts w:ascii="Calibri" w:hAnsi="Calibri"/>
                <w:sz w:val="18"/>
              </w:rPr>
              <w:t>Cover at least 5 categories: performance, security, usability, reliability, compatibility.</w:t>
            </w:r>
          </w:p>
        </w:tc>
      </w:tr>
      <w:tr>
        <w:tc>
          <w:tcPr>
            <w:tcW w:type="dxa" w:w="4320"/>
          </w:tcPr>
          <w:p>
            <w:r>
              <w:rPr>
                <w:rFonts w:ascii="Calibri" w:hAnsi="Calibri"/>
                <w:b/>
                <w:color w:val="00806A"/>
                <w:sz w:val="18"/>
              </w:rPr>
              <w:t>BRD to SRS Traceability</w:t>
            </w:r>
          </w:p>
        </w:tc>
        <w:tc>
          <w:tcPr>
            <w:tcW w:type="dxa" w:w="4320"/>
          </w:tcPr>
          <w:p>
            <w:r>
              <w:rPr>
                <w:rFonts w:ascii="Calibri" w:hAnsi="Calibri"/>
                <w:sz w:val="18"/>
              </w:rPr>
              <w:t>Every SR maps to a BR. No orphan requirements. Include traceability column.</w:t>
            </w:r>
          </w:p>
        </w:tc>
      </w:tr>
      <w:tr>
        <w:tc>
          <w:tcPr>
            <w:tcW w:type="dxa" w:w="4320"/>
          </w:tcPr>
          <w:p>
            <w:r>
              <w:rPr>
                <w:rFonts w:ascii="Calibri" w:hAnsi="Calibri"/>
                <w:b/>
                <w:color w:val="00806A"/>
                <w:sz w:val="18"/>
              </w:rPr>
              <w:t>FRD Scenarios</w:t>
            </w:r>
          </w:p>
        </w:tc>
        <w:tc>
          <w:tcPr>
            <w:tcW w:type="dxa" w:w="4320"/>
          </w:tcPr>
          <w:p>
            <w:r>
              <w:rPr>
                <w:rFonts w:ascii="Calibri" w:hAnsi="Calibri"/>
                <w:sz w:val="18"/>
              </w:rPr>
              <w:t>At least 3 per requirement: happy path, main error, one edge case.</w:t>
            </w:r>
          </w:p>
        </w:tc>
      </w:tr>
      <w:tr>
        <w:tc>
          <w:tcPr>
            <w:tcW w:type="dxa" w:w="4320"/>
          </w:tcPr>
          <w:p>
            <w:r>
              <w:rPr>
                <w:rFonts w:ascii="Calibri" w:hAnsi="Calibri"/>
                <w:b/>
                <w:color w:val="00806A"/>
                <w:sz w:val="18"/>
              </w:rPr>
              <w:t>Business Logic Depth</w:t>
            </w:r>
          </w:p>
        </w:tc>
        <w:tc>
          <w:tcPr>
            <w:tcW w:type="dxa" w:w="4320"/>
          </w:tcPr>
          <w:p>
            <w:r>
              <w:rPr>
                <w:rFonts w:ascii="Calibri" w:hAnsi="Calibri"/>
                <w:sz w:val="18"/>
              </w:rPr>
              <w:t>Write every formula, validation rule, conditional branch. Developer does not know business rules.</w:t>
            </w:r>
          </w:p>
        </w:tc>
      </w:tr>
      <w:tr>
        <w:tc>
          <w:tcPr>
            <w:tcW w:type="dxa" w:w="4320"/>
          </w:tcPr>
          <w:p>
            <w:r>
              <w:rPr>
                <w:rFonts w:ascii="Calibri" w:hAnsi="Calibri"/>
                <w:b/>
                <w:color w:val="00806A"/>
                <w:sz w:val="18"/>
              </w:rPr>
              <w:t>Error Handling</w:t>
            </w:r>
          </w:p>
        </w:tc>
        <w:tc>
          <w:tcPr>
            <w:tcW w:type="dxa" w:w="4320"/>
          </w:tcPr>
          <w:p>
            <w:r>
              <w:rPr>
                <w:rFonts w:ascii="Calibri" w:hAnsi="Calibri"/>
                <w:sz w:val="18"/>
              </w:rPr>
              <w:t>List 2-3 error cases per requirement: error message, HTTP code, data behavior.</w:t>
            </w:r>
          </w:p>
        </w:tc>
      </w:tr>
      <w:tr>
        <w:tc>
          <w:tcPr>
            <w:tcW w:type="dxa" w:w="4320"/>
          </w:tcPr>
          <w:p>
            <w:r>
              <w:rPr>
                <w:rFonts w:ascii="Calibri" w:hAnsi="Calibri"/>
                <w:b/>
                <w:color w:val="00806A"/>
                <w:sz w:val="18"/>
              </w:rPr>
              <w:t>BA in System Design</w:t>
            </w:r>
          </w:p>
        </w:tc>
        <w:tc>
          <w:tcPr>
            <w:tcW w:type="dxa" w:w="4320"/>
          </w:tcPr>
          <w:p>
            <w:r>
              <w:rPr>
                <w:rFonts w:ascii="Calibri" w:hAnsi="Calibri"/>
                <w:sz w:val="18"/>
              </w:rPr>
              <w:t>Facilitate and document. Do not make architecture decisions. Ask the right questions.</w:t>
            </w:r>
          </w:p>
        </w:tc>
      </w:tr>
      <w:tr>
        <w:tc>
          <w:tcPr>
            <w:tcW w:type="dxa" w:w="4320"/>
          </w:tcPr>
          <w:p>
            <w:r>
              <w:rPr>
                <w:rFonts w:ascii="Calibri" w:hAnsi="Calibri"/>
                <w:b/>
                <w:color w:val="00806A"/>
                <w:sz w:val="18"/>
              </w:rPr>
              <w:t>Design Decisions</w:t>
            </w:r>
          </w:p>
        </w:tc>
        <w:tc>
          <w:tcPr>
            <w:tcW w:type="dxa" w:w="4320"/>
          </w:tcPr>
          <w:p>
            <w:r>
              <w:rPr>
                <w:rFonts w:ascii="Calibri" w:hAnsi="Calibri"/>
                <w:sz w:val="18"/>
              </w:rPr>
              <w:t>Four elements: what, why, who, what requirement. No undocumented decisions.</w:t>
            </w:r>
          </w:p>
        </w:tc>
      </w:tr>
      <w:tr>
        <w:tc>
          <w:tcPr>
            <w:tcW w:type="dxa" w:w="4320"/>
          </w:tcPr>
          <w:p>
            <w:r>
              <w:rPr>
                <w:rFonts w:ascii="Calibri" w:hAnsi="Calibri"/>
                <w:b/>
                <w:color w:val="00806A"/>
                <w:sz w:val="18"/>
              </w:rPr>
              <w:t>API Endpoints</w:t>
            </w:r>
          </w:p>
        </w:tc>
        <w:tc>
          <w:tcPr>
            <w:tcW w:type="dxa" w:w="4320"/>
          </w:tcPr>
          <w:p>
            <w:r>
              <w:rPr>
                <w:rFonts w:ascii="Calibri" w:hAnsi="Calibri"/>
                <w:sz w:val="18"/>
              </w:rPr>
              <w:t>Walk through every User Story. Each data need = GET. Each action = POST/PUT/DELETE.</w:t>
            </w:r>
          </w:p>
        </w:tc>
      </w:tr>
      <w:tr>
        <w:tc>
          <w:tcPr>
            <w:tcW w:type="dxa" w:w="4320"/>
          </w:tcPr>
          <w:p>
            <w:r>
              <w:rPr>
                <w:rFonts w:ascii="Calibri" w:hAnsi="Calibri"/>
                <w:b/>
                <w:color w:val="00806A"/>
                <w:sz w:val="18"/>
              </w:rPr>
              <w:t>JSON Consistency</w:t>
            </w:r>
          </w:p>
        </w:tc>
        <w:tc>
          <w:tcPr>
            <w:tcW w:type="dxa" w:w="4320"/>
          </w:tcPr>
          <w:p>
            <w:r>
              <w:rPr>
                <w:rFonts w:ascii="Calibri" w:hAnsi="Calibri"/>
                <w:sz w:val="18"/>
              </w:rPr>
              <w:t>camelCase fields, plural resources, UUID IDs, ISO 8601 dates, meta fields always included.</w:t>
            </w:r>
          </w:p>
        </w:tc>
      </w:tr>
      <w:tr>
        <w:tc>
          <w:tcPr>
            <w:tcW w:type="dxa" w:w="4320"/>
          </w:tcPr>
          <w:p>
            <w:r>
              <w:rPr>
                <w:rFonts w:ascii="Calibri" w:hAnsi="Calibri"/>
                <w:b/>
                <w:color w:val="00806A"/>
                <w:sz w:val="18"/>
              </w:rPr>
              <w:t>OpenAPI Standards</w:t>
            </w:r>
          </w:p>
        </w:tc>
        <w:tc>
          <w:tcPr>
            <w:tcW w:type="dxa" w:w="4320"/>
          </w:tcPr>
          <w:p>
            <w:r>
              <w:rPr>
                <w:rFonts w:ascii="Calibri" w:hAnsi="Calibri"/>
                <w:sz w:val="18"/>
              </w:rPr>
              <w:t>Use 3.0+. Include: info, servers, paths, components. DRY principle in components.</w:t>
            </w:r>
          </w:p>
        </w:tc>
      </w:tr>
      <w:tr>
        <w:tc>
          <w:tcPr>
            <w:tcW w:type="dxa" w:w="4320"/>
          </w:tcPr>
          <w:p>
            <w:r>
              <w:rPr>
                <w:rFonts w:ascii="Calibri" w:hAnsi="Calibri"/>
                <w:b/>
                <w:color w:val="00806A"/>
                <w:sz w:val="18"/>
              </w:rPr>
              <w:t>API Versioning</w:t>
            </w:r>
          </w:p>
        </w:tc>
        <w:tc>
          <w:tcPr>
            <w:tcW w:type="dxa" w:w="4320"/>
          </w:tcPr>
          <w:p>
            <w:r>
              <w:rPr>
                <w:rFonts w:ascii="Calibri" w:hAnsi="Calibri"/>
                <w:sz w:val="18"/>
              </w:rPr>
              <w:t>Version in URL (/api/v1/). Breaking changes = new version. Keep old version 6+ months.</w:t>
            </w:r>
          </w:p>
        </w:tc>
      </w:tr>
      <w:tr>
        <w:tc>
          <w:tcPr>
            <w:tcW w:type="dxa" w:w="4320"/>
          </w:tcPr>
          <w:p>
            <w:r>
              <w:rPr>
                <w:rFonts w:ascii="Calibri" w:hAnsi="Calibri"/>
                <w:b/>
                <w:color w:val="00806A"/>
                <w:sz w:val="18"/>
              </w:rPr>
              <w:t>Postman Coverage</w:t>
            </w:r>
          </w:p>
        </w:tc>
        <w:tc>
          <w:tcPr>
            <w:tcW w:type="dxa" w:w="4320"/>
          </w:tcPr>
          <w:p>
            <w:r>
              <w:rPr>
                <w:rFonts w:ascii="Calibri" w:hAnsi="Calibri"/>
                <w:sz w:val="18"/>
              </w:rPr>
              <w:t>5+ tests per endpoint: valid, 2 invalid inputs, auth failure, 1 edge case.</w:t>
            </w:r>
          </w:p>
        </w:tc>
      </w:tr>
      <w:tr>
        <w:tc>
          <w:tcPr>
            <w:tcW w:type="dxa" w:w="4320"/>
          </w:tcPr>
          <w:p>
            <w:r>
              <w:rPr>
                <w:rFonts w:ascii="Calibri" w:hAnsi="Calibri"/>
                <w:b/>
                <w:color w:val="00806A"/>
                <w:sz w:val="18"/>
              </w:rPr>
              <w:t>Postman Environment</w:t>
            </w:r>
          </w:p>
        </w:tc>
        <w:tc>
          <w:tcPr>
            <w:tcW w:type="dxa" w:w="4320"/>
          </w:tcPr>
          <w:p>
            <w:r>
              <w:rPr>
                <w:rFonts w:ascii="Calibri" w:hAnsi="Calibri"/>
                <w:sz w:val="18"/>
              </w:rPr>
              <w:t>3 environments: Local, Staging, Production. Setup requests create test data.</w:t>
            </w:r>
          </w:p>
        </w:tc>
      </w:tr>
      <w:tr>
        <w:tc>
          <w:tcPr>
            <w:tcW w:type="dxa" w:w="4320"/>
          </w:tcPr>
          <w:p>
            <w:r>
              <w:rPr>
                <w:rFonts w:ascii="Calibri" w:hAnsi="Calibri"/>
                <w:b/>
                <w:color w:val="00806A"/>
                <w:sz w:val="18"/>
              </w:rPr>
              <w:t>RICE Estimation</w:t>
            </w:r>
          </w:p>
        </w:tc>
        <w:tc>
          <w:tcPr>
            <w:tcW w:type="dxa" w:w="4320"/>
          </w:tcPr>
          <w:p>
            <w:r>
              <w:rPr>
                <w:rFonts w:ascii="Calibri" w:hAnsi="Calibri"/>
                <w:sz w:val="18"/>
              </w:rPr>
              <w:t>BA estimates Reach + Impact. Developer estimates Effort. Joint Confidence score.</w:t>
            </w:r>
          </w:p>
        </w:tc>
      </w:tr>
      <w:tr>
        <w:tc>
          <w:tcPr>
            <w:tcW w:type="dxa" w:w="4320"/>
          </w:tcPr>
          <w:p>
            <w:r>
              <w:rPr>
                <w:rFonts w:ascii="Calibri" w:hAnsi="Calibri"/>
                <w:b/>
                <w:color w:val="00806A"/>
                <w:sz w:val="18"/>
              </w:rPr>
              <w:t>Sprint Allocation</w:t>
            </w:r>
          </w:p>
        </w:tc>
        <w:tc>
          <w:tcPr>
            <w:tcW w:type="dxa" w:w="4320"/>
          </w:tcPr>
          <w:p>
            <w:r>
              <w:rPr>
                <w:rFonts w:ascii="Calibri" w:hAnsi="Calibri"/>
                <w:sz w:val="18"/>
              </w:rPr>
              <w:t>Fill to 80% capacity. 20% reserved for bugs and unplanned work.</w:t>
            </w:r>
          </w:p>
        </w:tc>
      </w:tr>
      <w:tr>
        <w:tc>
          <w:tcPr>
            <w:tcW w:type="dxa" w:w="4320"/>
          </w:tcPr>
          <w:p>
            <w:r>
              <w:rPr>
                <w:rFonts w:ascii="Calibri" w:hAnsi="Calibri"/>
                <w:b/>
                <w:color w:val="00806A"/>
                <w:sz w:val="18"/>
              </w:rPr>
              <w:t>Ceremony Schedule</w:t>
            </w:r>
          </w:p>
        </w:tc>
        <w:tc>
          <w:tcPr>
            <w:tcW w:type="dxa" w:w="4320"/>
          </w:tcPr>
          <w:p>
            <w:r>
              <w:rPr>
                <w:rFonts w:ascii="Calibri" w:hAnsi="Calibri"/>
                <w:sz w:val="18"/>
              </w:rPr>
              <w:t>2-week sprints. Planning Monday, Daily Standup 15min, Review Friday, Retro after.</w:t>
            </w:r>
          </w:p>
        </w:tc>
      </w:tr>
      <w:tr>
        <w:tc>
          <w:tcPr>
            <w:tcW w:type="dxa" w:w="4320"/>
          </w:tcPr>
          <w:p>
            <w:r>
              <w:rPr>
                <w:rFonts w:ascii="Calibri" w:hAnsi="Calibri"/>
                <w:b/>
                <w:color w:val="00806A"/>
                <w:sz w:val="18"/>
              </w:rPr>
              <w:t>Tool Selection</w:t>
            </w:r>
          </w:p>
        </w:tc>
        <w:tc>
          <w:tcPr>
            <w:tcW w:type="dxa" w:w="4320"/>
          </w:tcPr>
          <w:p>
            <w:r>
              <w:rPr>
                <w:rFonts w:ascii="Calibri" w:hAnsi="Calibri"/>
                <w:sz w:val="18"/>
              </w:rPr>
              <w:t>Use company tools. Be proficient before project starts. Traceability in Jira/Confluence.</w:t>
            </w:r>
          </w:p>
        </w:tc>
      </w:tr>
      <w:tr>
        <w:tc>
          <w:tcPr>
            <w:tcW w:type="dxa" w:w="4320"/>
          </w:tcPr>
          <w:p>
            <w:r>
              <w:rPr>
                <w:rFonts w:ascii="Calibri" w:hAnsi="Calibri"/>
                <w:b/>
                <w:color w:val="00806A"/>
                <w:sz w:val="18"/>
              </w:rPr>
              <w:t>UAT Testers</w:t>
            </w:r>
          </w:p>
        </w:tc>
        <w:tc>
          <w:tcPr>
            <w:tcW w:type="dxa" w:w="4320"/>
          </w:tcPr>
          <w:p>
            <w:r>
              <w:rPr>
                <w:rFonts w:ascii="Calibri" w:hAnsi="Calibri"/>
                <w:sz w:val="18"/>
              </w:rPr>
              <w:t>Business users, not QA. Same people from Phase 1 interviews. One tester per user group.</w:t>
            </w:r>
          </w:p>
        </w:tc>
      </w:tr>
      <w:tr>
        <w:tc>
          <w:tcPr>
            <w:tcW w:type="dxa" w:w="4320"/>
          </w:tcPr>
          <w:p>
            <w:r>
              <w:rPr>
                <w:rFonts w:ascii="Calibri" w:hAnsi="Calibri"/>
                <w:b/>
                <w:color w:val="00806A"/>
                <w:sz w:val="18"/>
              </w:rPr>
              <w:t>UAT Pass Criteria</w:t>
            </w:r>
          </w:p>
        </w:tc>
        <w:tc>
          <w:tcPr>
            <w:tcW w:type="dxa" w:w="4320"/>
          </w:tcPr>
          <w:p>
            <w:r>
              <w:rPr>
                <w:rFonts w:ascii="Calibri" w:hAnsi="Calibri"/>
                <w:sz w:val="18"/>
              </w:rPr>
              <w:t>All Critical + High defects fixed. 90% scenarios pass. All user groups signed off.</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