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40" w:before="0" w:line="260" w:lineRule="exact"/>
        <w:jc w:val="left"/>
      </w:pPr>
      <w:r>
        <w:rPr>
          <w:rFonts w:ascii="Calibri" w:hAnsi="Calibri"/>
          <w:b/>
          <w:color w:val="212529"/>
          <w:sz w:val="30"/>
        </w:rPr>
        <w:t>ZAMIR JAMALOV</w:t>
      </w:r>
    </w:p>
    <w:p>
      <w:pPr>
        <w:spacing w:after="40" w:before="0" w:line="260" w:lineRule="exact"/>
        <w:jc w:val="left"/>
      </w:pPr>
      <w:r>
        <w:rPr>
          <w:rFonts w:ascii="Calibri" w:hAnsi="Calibri"/>
          <w:b w:val="0"/>
          <w:color w:val="005A9C"/>
          <w:sz w:val="19"/>
        </w:rPr>
        <w:t>Business Analyst  |  Government Service Design &amp; Multi-Agency Coordination</w:t>
      </w:r>
    </w:p>
    <w:p>
      <w:pPr>
        <w:spacing w:after="80" w:before="0" w:line="260" w:lineRule="exact"/>
        <w:jc w:val="left"/>
      </w:pPr>
      <w:r>
        <w:rPr>
          <w:rFonts w:ascii="Calibri" w:hAnsi="Calibri"/>
          <w:b w:val="0"/>
          <w:color w:val="595959"/>
          <w:sz w:val="18"/>
        </w:rPr>
        <w:t>+994 55 207 7228  |  jamalov.zamir@gmail.com  |  Baku, Azerbaijan</w:t>
      </w:r>
    </w:p>
    <w:p>
      <w:pPr>
        <w:spacing w:after="80" w:before="80"/>
        <w:pBdr>
          <w:bottom w:val="single" w:sz="4" w:space="1" w:color="AAAAAA"/>
        </w:pBdr>
      </w:pPr>
    </w:p>
    <w:p>
      <w:pPr>
        <w:spacing w:after="40" w:before="0" w:line="260" w:lineRule="exact"/>
        <w:jc w:val="left"/>
      </w:pPr>
      <w:r>
        <w:rPr>
          <w:rFonts w:ascii="Calibri" w:hAnsi="Calibri"/>
          <w:b/>
          <w:color w:val="005A9C"/>
          <w:sz w:val="19"/>
        </w:rPr>
        <w:t>PROFILE SUMMARY</w:t>
      </w:r>
    </w:p>
    <w:p>
      <w:pPr>
        <w:spacing w:after="80" w:before="0" w:line="260" w:lineRule="exact"/>
        <w:jc w:val="left"/>
      </w:pPr>
      <w:r>
        <w:rPr>
          <w:rFonts w:ascii="Calibri" w:hAnsi="Calibri"/>
          <w:b w:val="0"/>
          <w:color w:val="212529"/>
          <w:sz w:val="17"/>
        </w:rPr>
        <w:t>Business Analyst with experience in government service digitization, multi-agency coordination and end-to-end process design. 18 years in IT, including key government projects: the Government Payment Portal (GPP) at the Central Bank and the Labour and Employment Subsystem (LMAS) at the State Employment Agency. Practical experience in service journey analysis, citizen-centered digital channel design, and coordination across multiple government organizations. Author of 14+ production-level BA documents (BRD, FRD, SRS, User Stories, API Specifications) across fintech, e-commerce and government services.</w:t>
      </w:r>
    </w:p>
    <w:p>
      <w:pPr>
        <w:spacing w:after="80" w:before="80"/>
        <w:pBdr>
          <w:bottom w:val="single" w:sz="4" w:space="1" w:color="AAAAAA"/>
        </w:pBdr>
      </w:pPr>
    </w:p>
    <w:p>
      <w:pPr>
        <w:spacing w:after="40" w:before="0" w:line="260" w:lineRule="exact"/>
        <w:jc w:val="left"/>
      </w:pPr>
      <w:r>
        <w:rPr>
          <w:rFonts w:ascii="Calibri" w:hAnsi="Calibri"/>
          <w:b/>
          <w:color w:val="005A9C"/>
          <w:sz w:val="19"/>
        </w:rPr>
        <w:t>CORE SKILLS</w:t>
      </w:r>
    </w:p>
    <w:p>
      <w:pPr>
        <w:spacing w:after="20" w:before="0" w:line="260" w:lineRule="exact"/>
        <w:jc w:val="left"/>
      </w:pPr>
      <w:r>
        <w:rPr>
          <w:rFonts w:ascii="Calibri" w:hAnsi="Calibri"/>
          <w:b/>
          <w:color w:val="212529"/>
          <w:sz w:val="17"/>
        </w:rPr>
        <w:t>Service Design &amp; Analysis:</w:t>
      </w:r>
    </w:p>
    <w:p>
      <w:pPr>
        <w:spacing w:after="60" w:before="0" w:line="260" w:lineRule="exact"/>
        <w:jc w:val="left"/>
      </w:pPr>
      <w:r>
        <w:rPr>
          <w:rFonts w:ascii="Calibri" w:hAnsi="Calibri"/>
          <w:b w:val="0"/>
          <w:color w:val="212529"/>
          <w:sz w:val="16"/>
        </w:rPr>
        <w:t>Applied Service Design  |  Service Journey Analysis  |  Citizen-Centered Service Design  |  Multi-Agency Service Coordination  |  As-Is / To-Be Service Analysis  |  SLA / KPI Monitoring  |  Process Digitization</w:t>
      </w:r>
    </w:p>
    <w:p>
      <w:pPr>
        <w:spacing w:after="20" w:before="0" w:line="260" w:lineRule="exact"/>
        <w:jc w:val="left"/>
      </w:pPr>
      <w:r>
        <w:rPr>
          <w:rFonts w:ascii="Calibri" w:hAnsi="Calibri"/>
          <w:b/>
          <w:color w:val="212529"/>
          <w:sz w:val="17"/>
        </w:rPr>
        <w:t>Business Analysis:</w:t>
      </w:r>
    </w:p>
    <w:p>
      <w:pPr>
        <w:spacing w:after="60" w:before="0" w:line="260" w:lineRule="exact"/>
        <w:jc w:val="left"/>
      </w:pPr>
      <w:r>
        <w:rPr>
          <w:rFonts w:ascii="Calibri" w:hAnsi="Calibri"/>
          <w:b w:val="0"/>
          <w:color w:val="212529"/>
          <w:sz w:val="16"/>
        </w:rPr>
        <w:t>BRD / FRD / SRS  |  User Stories &amp; Acceptance Criteria  |  BPMN (As-Is / To-Be)  |  UML &amp; Sequence Diagrams  |  Gap Analysis  |  Stakeholder Interviews  |  Backlog Prioritization (RICE)  |  UAT</w:t>
      </w:r>
    </w:p>
    <w:p>
      <w:pPr>
        <w:spacing w:after="20" w:before="0" w:line="260" w:lineRule="exact"/>
        <w:jc w:val="left"/>
      </w:pPr>
      <w:r>
        <w:rPr>
          <w:rFonts w:ascii="Calibri" w:hAnsi="Calibri"/>
          <w:b/>
          <w:color w:val="212529"/>
          <w:sz w:val="17"/>
        </w:rPr>
        <w:t>Technical:</w:t>
      </w:r>
    </w:p>
    <w:p>
      <w:pPr>
        <w:spacing w:after="60" w:before="0" w:line="260" w:lineRule="exact"/>
        <w:jc w:val="left"/>
      </w:pPr>
      <w:r>
        <w:rPr>
          <w:rFonts w:ascii="Calibri" w:hAnsi="Calibri"/>
          <w:b w:val="0"/>
          <w:color w:val="212529"/>
          <w:sz w:val="16"/>
        </w:rPr>
        <w:t>REST API &amp; JSON  |  Swagger / OpenAPI 3.0  |  SQL  |  SDLC  |  System Integration  |  Data-Driven Analysis</w:t>
      </w:r>
    </w:p>
    <w:p>
      <w:pPr>
        <w:spacing w:after="20" w:before="0" w:line="260" w:lineRule="exact"/>
        <w:jc w:val="left"/>
      </w:pPr>
      <w:r>
        <w:rPr>
          <w:rFonts w:ascii="Calibri" w:hAnsi="Calibri"/>
          <w:b/>
          <w:color w:val="212529"/>
          <w:sz w:val="17"/>
        </w:rPr>
        <w:t>Process &amp; Tools:</w:t>
      </w:r>
    </w:p>
    <w:p>
      <w:pPr>
        <w:spacing w:after="80" w:before="0" w:line="260" w:lineRule="exact"/>
        <w:jc w:val="left"/>
      </w:pPr>
      <w:r>
        <w:rPr>
          <w:rFonts w:ascii="Calibri" w:hAnsi="Calibri"/>
          <w:b w:val="0"/>
          <w:color w:val="212529"/>
          <w:sz w:val="16"/>
        </w:rPr>
        <w:t>Agile / Scrum  |  Jira  |  Confluence  |  Cross-Functional Coordination  |  Government Stakeholder Management</w:t>
      </w:r>
    </w:p>
    <w:p>
      <w:pPr>
        <w:spacing w:after="80" w:before="80"/>
        <w:pBdr>
          <w:bottom w:val="single" w:sz="4" w:space="1" w:color="AAAAAA"/>
        </w:pBdr>
      </w:pPr>
    </w:p>
    <w:p>
      <w:pPr>
        <w:spacing w:after="80" w:before="0" w:line="260" w:lineRule="exact"/>
        <w:jc w:val="left"/>
      </w:pPr>
      <w:r>
        <w:rPr>
          <w:rFonts w:ascii="Calibri" w:hAnsi="Calibri"/>
          <w:b/>
          <w:color w:val="005A9C"/>
          <w:sz w:val="19"/>
        </w:rPr>
        <w:t>PROFESSIONAL EXPERIENCE</w:t>
      </w:r>
    </w:p>
    <w:p>
      <w:pPr>
        <w:spacing w:after="20" w:before="0" w:line="260" w:lineRule="exact"/>
        <w:jc w:val="left"/>
      </w:pPr>
      <w:r>
        <w:rPr>
          <w:rFonts w:ascii="Calibri" w:hAnsi="Calibri"/>
          <w:b/>
          <w:color w:val="212529"/>
          <w:sz w:val="18"/>
        </w:rPr>
        <w:t>Embafinans  |  Lead IT Business Analyst</w:t>
      </w:r>
    </w:p>
    <w:p>
      <w:pPr>
        <w:spacing w:after="40" w:before="0" w:line="260" w:lineRule="exact"/>
        <w:jc w:val="left"/>
      </w:pPr>
      <w:r>
        <w:rPr>
          <w:rFonts w:ascii="Calibri" w:hAnsi="Calibri"/>
          <w:b w:val="0"/>
          <w:color w:val="787878"/>
          <w:sz w:val="16"/>
        </w:rPr>
        <w:t>2025 - Present</w:t>
      </w:r>
    </w:p>
    <w:p>
      <w:pPr>
        <w:spacing w:after="30" w:before="0" w:line="250" w:lineRule="exact"/>
        <w:ind w:left="360" w:hanging="216"/>
      </w:pPr>
      <w:r>
        <w:rPr>
          <w:rFonts w:ascii="Calibri" w:hAnsi="Calibri"/>
          <w:color w:val="212529"/>
          <w:sz w:val="18"/>
        </w:rPr>
        <w:t>Leading business analysis for fintech products including BNPL credit scoring, payment gateway integration, and loan tracking dashboard</w:t>
      </w:r>
    </w:p>
    <w:p>
      <w:pPr>
        <w:spacing w:after="30" w:before="0" w:line="250" w:lineRule="exact"/>
        <w:ind w:left="360" w:hanging="216"/>
      </w:pPr>
      <w:r>
        <w:rPr>
          <w:rFonts w:ascii="Calibri" w:hAnsi="Calibri"/>
          <w:color w:val="212529"/>
          <w:sz w:val="18"/>
        </w:rPr>
        <w:t>Authoring BRD, FRD and SRS documents; writing User Stories with Gherkin Acceptance Criteria and maintaining traceability across sprints</w:t>
      </w:r>
    </w:p>
    <w:p>
      <w:pPr>
        <w:spacing w:after="30" w:before="0" w:line="250" w:lineRule="exact"/>
        <w:ind w:left="360" w:hanging="216"/>
      </w:pPr>
      <w:r>
        <w:rPr>
          <w:rFonts w:ascii="Calibri" w:hAnsi="Calibri"/>
          <w:color w:val="212529"/>
          <w:sz w:val="18"/>
        </w:rPr>
        <w:t>Defining REST API specifications in Swagger / OpenAPI 3.0 and creating sequence diagrams for integration flows</w:t>
      </w:r>
    </w:p>
    <w:p>
      <w:pPr>
        <w:spacing w:after="30" w:before="0" w:line="250" w:lineRule="exact"/>
        <w:ind w:left="360" w:hanging="216"/>
      </w:pPr>
      <w:r>
        <w:rPr>
          <w:rFonts w:ascii="Calibri" w:hAnsi="Calibri"/>
          <w:color w:val="212529"/>
          <w:sz w:val="18"/>
        </w:rPr>
        <w:t>Coordinating UAT execution with business stakeholders, leading bug triage meetings, and achieving on-time sign-off across release cycles</w:t>
      </w:r>
    </w:p>
    <w:p>
      <w:pPr>
        <w:spacing w:after="20" w:before="80" w:line="260" w:lineRule="exact"/>
        <w:jc w:val="left"/>
      </w:pPr>
      <w:r>
        <w:rPr>
          <w:rFonts w:ascii="Calibri" w:hAnsi="Calibri"/>
          <w:b/>
          <w:color w:val="212529"/>
          <w:sz w:val="18"/>
        </w:rPr>
        <w:t>Kapital Bank / Birbonus  |  IT Business Analyst</w:t>
      </w:r>
    </w:p>
    <w:p>
      <w:pPr>
        <w:spacing w:after="40" w:before="0" w:line="260" w:lineRule="exact"/>
        <w:jc w:val="left"/>
      </w:pPr>
      <w:r>
        <w:rPr>
          <w:rFonts w:ascii="Calibri" w:hAnsi="Calibri"/>
          <w:b w:val="0"/>
          <w:color w:val="787878"/>
          <w:sz w:val="16"/>
        </w:rPr>
        <w:t>2024 - 2025</w:t>
      </w:r>
    </w:p>
    <w:p>
      <w:pPr>
        <w:spacing w:after="30" w:before="0" w:line="250" w:lineRule="exact"/>
        <w:ind w:left="360" w:hanging="216"/>
      </w:pPr>
      <w:r>
        <w:rPr>
          <w:rFonts w:ascii="Calibri" w:hAnsi="Calibri"/>
          <w:color w:val="212529"/>
          <w:sz w:val="18"/>
        </w:rPr>
        <w:t>Designed a customer loyalty bonus system enabling shoppers to earn rewards on purchases and redeem across partner merchants</w:t>
      </w:r>
    </w:p>
    <w:p>
      <w:pPr>
        <w:spacing w:after="30" w:before="0" w:line="250" w:lineRule="exact"/>
        <w:ind w:left="360" w:hanging="216"/>
      </w:pPr>
      <w:r>
        <w:rPr>
          <w:rFonts w:ascii="Calibri" w:hAnsi="Calibri"/>
          <w:color w:val="212529"/>
          <w:sz w:val="18"/>
        </w:rPr>
        <w:t>Conducted stakeholder sessions to define earning rules, eligibility criteria, and partner settlement workflows</w:t>
      </w:r>
    </w:p>
    <w:p>
      <w:pPr>
        <w:spacing w:after="20" w:before="80" w:line="260" w:lineRule="exact"/>
        <w:jc w:val="left"/>
      </w:pPr>
      <w:r>
        <w:rPr>
          <w:rFonts w:ascii="Calibri" w:hAnsi="Calibri"/>
          <w:b/>
          <w:color w:val="212529"/>
          <w:sz w:val="18"/>
        </w:rPr>
        <w:t>Umico  |  Integration Specialist</w:t>
      </w:r>
    </w:p>
    <w:p>
      <w:pPr>
        <w:spacing w:after="40" w:before="0" w:line="260" w:lineRule="exact"/>
        <w:jc w:val="left"/>
      </w:pPr>
      <w:r>
        <w:rPr>
          <w:rFonts w:ascii="Calibri" w:hAnsi="Calibri"/>
          <w:b w:val="0"/>
          <w:color w:val="787878"/>
          <w:sz w:val="16"/>
        </w:rPr>
        <w:t>2022 - 2024</w:t>
      </w:r>
    </w:p>
    <w:p>
      <w:pPr>
        <w:spacing w:after="30" w:before="0" w:line="250" w:lineRule="exact"/>
        <w:ind w:left="360" w:hanging="216"/>
      </w:pPr>
      <w:r>
        <w:rPr>
          <w:rFonts w:ascii="Calibri" w:hAnsi="Calibri"/>
          <w:color w:val="212529"/>
          <w:sz w:val="18"/>
        </w:rPr>
        <w:t>Managed API integration of 25+ partner companies into the Umico ecosystem, defining integration specifications and coordinating technical implementation</w:t>
      </w:r>
    </w:p>
    <w:p>
      <w:pPr>
        <w:spacing w:after="30" w:before="0" w:line="250" w:lineRule="exact"/>
        <w:ind w:left="360" w:hanging="216"/>
      </w:pPr>
      <w:r>
        <w:rPr>
          <w:rFonts w:ascii="Calibri" w:hAnsi="Calibri"/>
          <w:color w:val="212529"/>
          <w:sz w:val="18"/>
        </w:rPr>
        <w:t>Developed backend features using PostgreSQL, resolved L2 production incidents, and supported partner development teams</w:t>
      </w:r>
    </w:p>
    <w:p>
      <w:pPr>
        <w:spacing w:after="20" w:before="80" w:line="260" w:lineRule="exact"/>
        <w:jc w:val="left"/>
      </w:pPr>
      <w:r>
        <w:rPr>
          <w:rFonts w:ascii="Calibri" w:hAnsi="Calibri"/>
          <w:b/>
          <w:color w:val="212529"/>
          <w:sz w:val="18"/>
        </w:rPr>
        <w:t>State Employment Agency  |  Innovation Department Lead &amp; Business Analyst</w:t>
      </w:r>
    </w:p>
    <w:p>
      <w:pPr>
        <w:spacing w:after="40" w:before="0" w:line="260" w:lineRule="exact"/>
        <w:jc w:val="left"/>
      </w:pPr>
      <w:r>
        <w:rPr>
          <w:rFonts w:ascii="Calibri" w:hAnsi="Calibri"/>
          <w:b w:val="0"/>
          <w:color w:val="787878"/>
          <w:sz w:val="16"/>
        </w:rPr>
        <w:t>2021 - 2022</w:t>
      </w:r>
    </w:p>
    <w:p>
      <w:pPr>
        <w:spacing w:after="30" w:before="0" w:line="250" w:lineRule="exact"/>
        <w:ind w:left="360" w:hanging="216"/>
      </w:pPr>
      <w:r>
        <w:rPr>
          <w:rFonts w:ascii="Calibri" w:hAnsi="Calibri"/>
          <w:color w:val="212529"/>
          <w:sz w:val="18"/>
        </w:rPr>
        <w:t>Led the digitization of the Labour and Employment Subsystem (LMAS): analyzed the full citizen service journey from application to result, designed the end-to-end process architecture, and authored requirements documentation for the initial system development</w:t>
      </w:r>
    </w:p>
    <w:p>
      <w:pPr>
        <w:spacing w:after="30" w:before="0" w:line="250" w:lineRule="exact"/>
        <w:ind w:left="360" w:hanging="216"/>
      </w:pPr>
      <w:r>
        <w:rPr>
          <w:rFonts w:ascii="Calibri" w:hAnsi="Calibri"/>
          <w:color w:val="212529"/>
          <w:sz w:val="18"/>
        </w:rPr>
        <w:t>Designed a new citizen service channel using Telegram bot for real-time application submission and response processing, reducing the need for physical office visits and improving service accessibility</w:t>
      </w:r>
    </w:p>
    <w:p>
      <w:pPr>
        <w:spacing w:after="30" w:before="0" w:line="250" w:lineRule="exact"/>
        <w:ind w:left="360" w:hanging="216"/>
      </w:pPr>
      <w:r>
        <w:rPr>
          <w:rFonts w:ascii="Calibri" w:hAnsi="Calibri"/>
          <w:color w:val="212529"/>
          <w:sz w:val="18"/>
        </w:rPr>
        <w:t>Built a real-time service performance monitoring dashboard for the management board, tracking citizen applications, response times (SLA), and service quality indicators (KPI)</w:t>
      </w:r>
    </w:p>
    <w:p>
      <w:pPr>
        <w:spacing w:after="30" w:before="0" w:line="250" w:lineRule="exact"/>
        <w:ind w:left="360" w:hanging="216"/>
      </w:pPr>
      <w:r>
        <w:rPr>
          <w:rFonts w:ascii="Calibri" w:hAnsi="Calibri"/>
          <w:color w:val="212529"/>
          <w:sz w:val="18"/>
        </w:rPr>
        <w:t>Coordinated a 15-member cross-functional project team, provided methodology guidance, and managed multi-stakeholder communication across government departments</w:t>
      </w:r>
    </w:p>
    <w:p>
      <w:pPr>
        <w:spacing w:after="30" w:before="0" w:line="250" w:lineRule="exact"/>
        <w:ind w:left="360" w:hanging="216"/>
      </w:pPr>
      <w:r>
        <w:rPr>
          <w:rFonts w:ascii="Calibri" w:hAnsi="Calibri"/>
          <w:color w:val="212529"/>
          <w:sz w:val="18"/>
        </w:rPr>
        <w:t>Conducted stakeholder interviews and service gap analysis to identify pain points in the existing employment service delivery process</w:t>
      </w:r>
    </w:p>
    <w:p>
      <w:pPr>
        <w:spacing w:after="20" w:before="80" w:line="260" w:lineRule="exact"/>
        <w:jc w:val="left"/>
      </w:pPr>
      <w:r>
        <w:rPr>
          <w:rFonts w:ascii="Calibri" w:hAnsi="Calibri"/>
          <w:b/>
          <w:color w:val="212529"/>
          <w:sz w:val="18"/>
        </w:rPr>
        <w:t>Central Bank of Azerbaijan  |  Integration Specialist</w:t>
      </w:r>
    </w:p>
    <w:p>
      <w:pPr>
        <w:spacing w:after="40" w:before="0" w:line="260" w:lineRule="exact"/>
        <w:jc w:val="left"/>
      </w:pPr>
      <w:r>
        <w:rPr>
          <w:rFonts w:ascii="Calibri" w:hAnsi="Calibri"/>
          <w:b w:val="0"/>
          <w:color w:val="787878"/>
          <w:sz w:val="16"/>
        </w:rPr>
        <w:t>2007 - 2012</w:t>
      </w:r>
    </w:p>
    <w:p>
      <w:pPr>
        <w:spacing w:after="30" w:before="0" w:line="250" w:lineRule="exact"/>
        <w:ind w:left="360" w:hanging="216"/>
      </w:pPr>
      <w:r>
        <w:rPr>
          <w:rFonts w:ascii="Calibri" w:hAnsi="Calibri"/>
          <w:color w:val="212529"/>
          <w:sz w:val="18"/>
        </w:rPr>
        <w:t>Coordinated the integration of 10+ government organizations into the Government Payment Portal (GPP): defined data exchange requirements and integration specifications for each agency</w:t>
      </w:r>
    </w:p>
    <w:p>
      <w:pPr>
        <w:spacing w:after="30" w:before="0" w:line="250" w:lineRule="exact"/>
        <w:ind w:left="360" w:hanging="216"/>
      </w:pPr>
      <w:r>
        <w:rPr>
          <w:rFonts w:ascii="Calibri" w:hAnsi="Calibri"/>
          <w:color w:val="212529"/>
          <w:sz w:val="18"/>
        </w:rPr>
        <w:t>Designed cross-system data exchange middleware between government institutions, enabling automated payment processing at national scale</w:t>
      </w:r>
    </w:p>
    <w:p>
      <w:pPr>
        <w:spacing w:after="80" w:before="80"/>
        <w:pBdr>
          <w:bottom w:val="single" w:sz="4" w:space="1" w:color="AAAAAA"/>
        </w:pBdr>
      </w:pPr>
    </w:p>
    <w:p>
      <w:pPr>
        <w:spacing w:after="40" w:before="0" w:line="260" w:lineRule="exact"/>
        <w:jc w:val="left"/>
      </w:pPr>
      <w:r>
        <w:rPr>
          <w:rFonts w:ascii="Calibri" w:hAnsi="Calibri"/>
          <w:b/>
          <w:color w:val="005A9C"/>
          <w:sz w:val="19"/>
        </w:rPr>
        <w:t>PROFESSIONAL DEVELOPMENT</w:t>
      </w:r>
    </w:p>
    <w:p>
      <w:pPr>
        <w:spacing w:after="80" w:before="0" w:line="260" w:lineRule="exact"/>
        <w:jc w:val="left"/>
      </w:pPr>
      <w:r>
        <w:rPr>
          <w:rFonts w:ascii="Calibri" w:hAnsi="Calibri"/>
          <w:b w:val="0"/>
          <w:color w:val="212529"/>
          <w:sz w:val="17"/>
        </w:rPr>
        <w:t>Acquired business analysis methodology through practical application in real projects: 14+ production-level BA documents (BRD, FRD, SRS, User Stories, API Specifications, BPMN, UAT) across fintech, e-commerce and government services. Practical experience in both business process and service design methodologies.</w:t>
      </w:r>
    </w:p>
    <w:p>
      <w:pPr>
        <w:spacing w:after="80" w:before="80"/>
        <w:pBdr>
          <w:bottom w:val="single" w:sz="4" w:space="1" w:color="AAAAAA"/>
        </w:pBdr>
      </w:pPr>
    </w:p>
    <w:p>
      <w:pPr>
        <w:spacing w:after="40" w:before="0" w:line="260" w:lineRule="exact"/>
        <w:jc w:val="left"/>
      </w:pPr>
      <w:r>
        <w:rPr>
          <w:rFonts w:ascii="Calibri" w:hAnsi="Calibri"/>
          <w:b/>
          <w:color w:val="005A9C"/>
          <w:sz w:val="19"/>
        </w:rPr>
        <w:t>ADDITIONAL PROFESSIONAL BACKGROUND</w:t>
      </w:r>
    </w:p>
    <w:p>
      <w:pPr>
        <w:spacing w:after="80" w:before="0" w:line="260" w:lineRule="exact"/>
        <w:jc w:val="left"/>
      </w:pPr>
      <w:r>
        <w:rPr>
          <w:rFonts w:ascii="Calibri" w:hAnsi="Calibri"/>
          <w:b w:val="0"/>
          <w:color w:val="212529"/>
          <w:sz w:val="17"/>
        </w:rPr>
        <w:t>10+ years of software engineering and data analytics experience across Azerbaijan's banking and public sectors, including core banking development (Zaminbank, Unibank, Bank of Baku, Rabita Bank), backend development (Umico), and public services (ASAN Service). This foundation provides deep understanding of enterprise systems, database architectures (Oracle, MSSQL, PostgreSQL, MongoDB), government service delivery patterns, and cross-organization integration.</w:t>
      </w:r>
    </w:p>
    <w:p>
      <w:pPr>
        <w:spacing w:after="80" w:before="80"/>
        <w:pBdr>
          <w:bottom w:val="single" w:sz="4" w:space="1" w:color="AAAAAA"/>
        </w:pBdr>
      </w:pPr>
    </w:p>
    <w:p>
      <w:pPr>
        <w:spacing w:after="40" w:before="0" w:line="260" w:lineRule="exact"/>
        <w:jc w:val="left"/>
      </w:pPr>
      <w:r>
        <w:rPr>
          <w:rFonts w:ascii="Calibri" w:hAnsi="Calibri"/>
          <w:b/>
          <w:color w:val="005A9C"/>
          <w:sz w:val="19"/>
        </w:rPr>
        <w:t>EDUCATION</w:t>
      </w:r>
    </w:p>
    <w:p>
      <w:pPr>
        <w:spacing w:after="80" w:before="0" w:line="260" w:lineRule="exact"/>
        <w:jc w:val="left"/>
      </w:pPr>
      <w:r>
        <w:rPr>
          <w:rFonts w:ascii="Calibri" w:hAnsi="Calibri"/>
          <w:b w:val="0"/>
          <w:color w:val="212529"/>
          <w:sz w:val="18"/>
        </w:rPr>
        <w:t>Baku State University  -  Bachelor of Science in Applied Mathematics</w:t>
      </w:r>
    </w:p>
    <w:p>
      <w:pPr>
        <w:spacing w:after="40" w:before="0" w:line="260" w:lineRule="exact"/>
        <w:jc w:val="left"/>
      </w:pPr>
      <w:r>
        <w:rPr>
          <w:rFonts w:ascii="Calibri" w:hAnsi="Calibri"/>
          <w:b/>
          <w:color w:val="005A9C"/>
          <w:sz w:val="19"/>
        </w:rPr>
        <w:t>LANGUAGES</w:t>
      </w:r>
    </w:p>
    <w:p>
      <w:pPr>
        <w:spacing w:after="40" w:before="0" w:line="260" w:lineRule="exact"/>
        <w:jc w:val="left"/>
      </w:pPr>
      <w:r>
        <w:rPr>
          <w:rFonts w:ascii="Calibri" w:hAnsi="Calibri"/>
          <w:b w:val="0"/>
          <w:color w:val="212529"/>
          <w:sz w:val="18"/>
        </w:rPr>
        <w:t>Azerbaijani (Native)  |  Russian (Fluent)  |  English (Professional Working Proficiency)</w:t>
      </w:r>
    </w:p>
    <w:sectPr w:rsidR="00FC693F" w:rsidRPr="0006063C" w:rsidSect="00034616">
      <w:pgSz w:w="12240" w:h="15840"/>
      <w:pgMar w:top="720" w:right="1008" w:bottom="57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