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pPr>
    </w:p>
    <w:p>
      <w:pPr>
        <w:spacing w:after="200"/>
        <w:jc w:val="center"/>
      </w:pPr>
      <w:r>
        <w:rPr>
          <w:b/>
          <w:bCs/>
          <w:color w:val="7A5C3A"/>
          <w:sz w:val="56"/>
          <w:szCs w:val="56"/>
        </w:rPr>
        <w:t xml:space="preserve">RDC IT Infrastructure Plan</w:t>
      </w:r>
    </w:p>
    <w:p>
      <w:pPr>
        <w:spacing w:after="600"/>
        <w:jc w:val="center"/>
      </w:pPr>
      <w:r>
        <w:rPr>
          <w:color w:val="6E6560"/>
          <w:sz w:val="40"/>
          <w:szCs w:val="40"/>
        </w:rPr>
        <w:t xml:space="preserve">Development and Deployment Infrastructure</w:t>
      </w:r>
    </w:p>
    <w:p>
      <w:pPr>
        <w:sectPr>
          <w:pgSz w:w="11906" w:h="16838" w:orient="portrait"/>
          <w:pgMar w:top="0" w:right="0" w:bottom="0" w:left="0" w:header="708" w:footer="708" w:gutter="0"/>
          <w:pgNumType/>
          <w:docGrid w:linePitch="360"/>
        </w:sectPr>
      </w:pPr>
    </w:p>
    <w:p>
      <w:pPr>
        <w:pStyle w:val="Heading1"/>
        <w:spacing w:after="200" w:before="360"/>
      </w:pPr>
      <w:r>
        <w:rPr>
          <w:b/>
          <w:bCs/>
          <w:color w:val="28201C"/>
          <w:sz w:val="32"/>
          <w:szCs w:val="32"/>
        </w:rPr>
        <w:t xml:space="preserve">1. Development Environment</w:t>
      </w:r>
    </w:p>
    <w:p>
      <w:pPr>
        <w:spacing w:after="80" w:line="312"/>
        <w:jc w:val="both"/>
      </w:pPr>
      <w:r>
        <w:rPr>
          <w:color w:val="36302C"/>
          <w:sz w:val="24"/>
          <w:szCs w:val="24"/>
        </w:rPr>
        <w:t xml:space="preserve">The RDC system is developed using plain Go (version 1.21+) without any web framework. The development relies on the standard library packages net/http for HTTP handling, database/sql for database operations, and encoding/json for JSON serialization. The only external dependency is the go-mssqldb driver for SQL Server connectivity. This minimal dependency approach reduces complexity and ensures long-term maintainability.</w:t>
      </w:r>
    </w:p>
    <w:p>
      <w:pPr>
        <w:pStyle w:val="Heading2"/>
        <w:spacing w:after="140" w:before="280"/>
      </w:pPr>
      <w:r>
        <w:rPr>
          <w:b/>
          <w:bCs/>
          <w:color w:val="28201C"/>
          <w:sz w:val="28"/>
          <w:szCs w:val="28"/>
        </w:rPr>
        <w:t xml:space="preserve">1.1 Required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gridCol w:w="100"/>
      </w:tblGrid>
      <w:tr>
        <w:trPr>
          <w:cantSplit/>
          <w:tblHeader/>
        </w:trPr>
        <w:tc>
          <w:tcPr>
            <w:tcBorders>
              <w:top w:val="single" w:color="7A5C3A" w:sz="4"/>
              <w:left w:val="none"/>
              <w:bottom w:val="single" w:color="7A5C3A" w:sz="2"/>
              <w:right w:val="none"/>
            </w:tcBorders>
            <w:shd w:fill="FBF9F7" w:val="clear"/>
          </w:tcPr>
          <w:p>
            <w:r>
              <w:rPr>
                <w:b/>
                <w:bCs/>
                <w:color w:val="28201C"/>
                <w:sz w:val="21"/>
                <w:szCs w:val="21"/>
              </w:rPr>
              <w:t xml:space="preserve">Software</w:t>
            </w:r>
          </w:p>
        </w:tc>
        <w:tc>
          <w:tcPr>
            <w:tcBorders>
              <w:top w:val="single" w:color="7A5C3A" w:sz="4"/>
              <w:left w:val="none"/>
              <w:bottom w:val="single" w:color="7A5C3A" w:sz="2"/>
              <w:right w:val="none"/>
            </w:tcBorders>
            <w:shd w:fill="FBF9F7" w:val="clear"/>
          </w:tcPr>
          <w:p>
            <w:r>
              <w:rPr>
                <w:b/>
                <w:bCs/>
                <w:color w:val="28201C"/>
                <w:sz w:val="21"/>
                <w:szCs w:val="21"/>
              </w:rPr>
              <w:t xml:space="preserve">Version</w:t>
            </w:r>
          </w:p>
        </w:tc>
        <w:tc>
          <w:tcPr>
            <w:tcBorders>
              <w:top w:val="single" w:color="7A5C3A" w:sz="4"/>
              <w:left w:val="none"/>
              <w:bottom w:val="single" w:color="7A5C3A" w:sz="2"/>
              <w:right w:val="none"/>
            </w:tcBorders>
            <w:shd w:fill="FBF9F7" w:val="clear"/>
          </w:tcPr>
          <w:p>
            <w:r>
              <w:rPr>
                <w:b/>
                <w:bCs/>
                <w:color w:val="28201C"/>
                <w:sz w:val="21"/>
                <w:szCs w:val="21"/>
              </w:rPr>
              <w:t xml:space="preserve">Purpose</w:t>
            </w:r>
          </w:p>
        </w:tc>
      </w:tr>
      <w:tr>
        <w:trPr>
          <w:cantSplit/>
        </w:trPr>
        <w:tc>
          <w:tcPr>
            <w:tcBorders>
              <w:top w:val="none"/>
              <w:left w:val="none"/>
              <w:bottom w:val="single" w:color="E0E0E0" w:sz="1"/>
              <w:right w:val="none"/>
            </w:tcBorders>
            <w:shd w:fill="FBF9F7" w:val="clear"/>
          </w:tcPr>
          <w:p>
            <w:r>
              <w:rPr>
                <w:color w:val="36302C"/>
                <w:sz w:val="21"/>
                <w:szCs w:val="21"/>
              </w:rPr>
              <w:t xml:space="preserve">Go</w:t>
            </w:r>
          </w:p>
        </w:tc>
        <w:tc>
          <w:tcPr>
            <w:tcBorders>
              <w:top w:val="none"/>
              <w:left w:val="none"/>
              <w:bottom w:val="single" w:color="E0E0E0" w:sz="1"/>
              <w:right w:val="none"/>
            </w:tcBorders>
            <w:shd w:fill="FBF9F7" w:val="clear"/>
          </w:tcPr>
          <w:p>
            <w:r>
              <w:rPr>
                <w:color w:val="36302C"/>
                <w:sz w:val="21"/>
                <w:szCs w:val="21"/>
              </w:rPr>
              <w:t xml:space="preserve">1.21+</w:t>
            </w:r>
          </w:p>
        </w:tc>
        <w:tc>
          <w:tcPr>
            <w:tcBorders>
              <w:top w:val="none"/>
              <w:left w:val="none"/>
              <w:bottom w:val="single" w:color="E0E0E0" w:sz="1"/>
              <w:right w:val="none"/>
            </w:tcBorders>
            <w:shd w:fill="FBF9F7" w:val="clear"/>
          </w:tcPr>
          <w:p>
            <w:r>
              <w:rPr>
                <w:color w:val="36302C"/>
                <w:sz w:val="21"/>
                <w:szCs w:val="21"/>
              </w:rPr>
              <w:t xml:space="preserve">Programming language and toolchain</w:t>
            </w:r>
          </w:p>
        </w:tc>
      </w:tr>
      <w:tr>
        <w:trPr>
          <w:cantSplit/>
        </w:trPr>
        <w:tc>
          <w:tcPr>
            <w:tcBorders>
              <w:top w:val="none"/>
              <w:left w:val="none"/>
              <w:bottom w:val="single" w:color="E0E0E0" w:sz="1"/>
              <w:right w:val="none"/>
            </w:tcBorders>
          </w:tcPr>
          <w:p>
            <w:r>
              <w:rPr>
                <w:color w:val="36302C"/>
                <w:sz w:val="21"/>
                <w:szCs w:val="21"/>
              </w:rPr>
              <w:t xml:space="preserve">SQL Server Express</w:t>
            </w:r>
          </w:p>
        </w:tc>
        <w:tc>
          <w:tcPr>
            <w:tcBorders>
              <w:top w:val="none"/>
              <w:left w:val="none"/>
              <w:bottom w:val="single" w:color="E0E0E0" w:sz="1"/>
              <w:right w:val="none"/>
            </w:tcBorders>
          </w:tcPr>
          <w:p>
            <w:r>
              <w:rPr>
                <w:color w:val="36302C"/>
                <w:sz w:val="21"/>
                <w:szCs w:val="21"/>
              </w:rPr>
              <w:t xml:space="preserve">2019+</w:t>
            </w:r>
          </w:p>
        </w:tc>
        <w:tc>
          <w:tcPr>
            <w:tcBorders>
              <w:top w:val="none"/>
              <w:left w:val="none"/>
              <w:bottom w:val="single" w:color="E0E0E0" w:sz="1"/>
              <w:right w:val="none"/>
            </w:tcBorders>
          </w:tcPr>
          <w:p>
            <w:r>
              <w:rPr>
                <w:color w:val="36302C"/>
                <w:sz w:val="21"/>
                <w:szCs w:val="21"/>
              </w:rPr>
              <w:t xml:space="preserve">Database server</w:t>
            </w:r>
          </w:p>
        </w:tc>
      </w:tr>
      <w:tr>
        <w:trPr>
          <w:cantSplit/>
        </w:trPr>
        <w:tc>
          <w:tcPr>
            <w:tcBorders>
              <w:top w:val="none"/>
              <w:left w:val="none"/>
              <w:bottom w:val="single" w:color="E0E0E0" w:sz="1"/>
              <w:right w:val="none"/>
            </w:tcBorders>
            <w:shd w:fill="FBF9F7" w:val="clear"/>
          </w:tcPr>
          <w:p>
            <w:r>
              <w:rPr>
                <w:color w:val="36302C"/>
                <w:sz w:val="21"/>
                <w:szCs w:val="21"/>
              </w:rPr>
              <w:t xml:space="preserve">Git</w:t>
            </w:r>
          </w:p>
        </w:tc>
        <w:tc>
          <w:tcPr>
            <w:tcBorders>
              <w:top w:val="none"/>
              <w:left w:val="none"/>
              <w:bottom w:val="single" w:color="E0E0E0" w:sz="1"/>
              <w:right w:val="none"/>
            </w:tcBorders>
            <w:shd w:fill="FBF9F7" w:val="clear"/>
          </w:tcPr>
          <w:p>
            <w:r>
              <w:rPr>
                <w:color w:val="36302C"/>
                <w:sz w:val="21"/>
                <w:szCs w:val="21"/>
              </w:rPr>
              <w:t xml:space="preserve">Latest</w:t>
            </w:r>
          </w:p>
        </w:tc>
        <w:tc>
          <w:tcPr>
            <w:tcBorders>
              <w:top w:val="none"/>
              <w:left w:val="none"/>
              <w:bottom w:val="single" w:color="E0E0E0" w:sz="1"/>
              <w:right w:val="none"/>
            </w:tcBorders>
            <w:shd w:fill="FBF9F7" w:val="clear"/>
          </w:tcPr>
          <w:p>
            <w:r>
              <w:rPr>
                <w:color w:val="36302C"/>
                <w:sz w:val="21"/>
                <w:szCs w:val="21"/>
              </w:rPr>
              <w:t xml:space="preserve">Version control</w:t>
            </w:r>
          </w:p>
        </w:tc>
      </w:tr>
      <w:tr>
        <w:trPr>
          <w:cantSplit/>
        </w:trPr>
        <w:tc>
          <w:tcPr>
            <w:tcBorders>
              <w:top w:val="none"/>
              <w:left w:val="none"/>
              <w:bottom w:val="single" w:color="E0E0E0" w:sz="1"/>
              <w:right w:val="none"/>
            </w:tcBorders>
          </w:tcPr>
          <w:p>
            <w:r>
              <w:rPr>
                <w:color w:val="36302C"/>
                <w:sz w:val="21"/>
                <w:szCs w:val="21"/>
              </w:rPr>
              <w:t xml:space="preserve">VS Code / GoLand</w:t>
            </w:r>
          </w:p>
        </w:tc>
        <w:tc>
          <w:tcPr>
            <w:tcBorders>
              <w:top w:val="none"/>
              <w:left w:val="none"/>
              <w:bottom w:val="single" w:color="E0E0E0" w:sz="1"/>
              <w:right w:val="none"/>
            </w:tcBorders>
          </w:tcPr>
          <w:p>
            <w:r>
              <w:rPr>
                <w:color w:val="36302C"/>
                <w:sz w:val="21"/>
                <w:szCs w:val="21"/>
              </w:rPr>
              <w:t xml:space="preserve">Any</w:t>
            </w:r>
          </w:p>
        </w:tc>
        <w:tc>
          <w:tcPr>
            <w:tcBorders>
              <w:top w:val="none"/>
              <w:left w:val="none"/>
              <w:bottom w:val="single" w:color="E0E0E0" w:sz="1"/>
              <w:right w:val="none"/>
            </w:tcBorders>
          </w:tcPr>
          <w:p>
            <w:r>
              <w:rPr>
                <w:color w:val="36302C"/>
                <w:sz w:val="21"/>
                <w:szCs w:val="21"/>
              </w:rPr>
              <w:t xml:space="preserve">IDE for Go development</w:t>
            </w:r>
          </w:p>
        </w:tc>
      </w:tr>
      <w:tr>
        <w:trPr>
          <w:cantSplit/>
        </w:trPr>
        <w:tc>
          <w:tcPr>
            <w:tcBorders>
              <w:top w:val="none"/>
              <w:left w:val="none"/>
              <w:bottom w:val="single" w:color="E0E0E0" w:sz="1"/>
              <w:right w:val="none"/>
            </w:tcBorders>
            <w:shd w:fill="FBF9F7" w:val="clear"/>
          </w:tcPr>
          <w:p>
            <w:r>
              <w:rPr>
                <w:color w:val="36302C"/>
                <w:sz w:val="21"/>
                <w:szCs w:val="21"/>
              </w:rPr>
              <w:t xml:space="preserve">Postman</w:t>
            </w:r>
          </w:p>
        </w:tc>
        <w:tc>
          <w:tcPr>
            <w:tcBorders>
              <w:top w:val="none"/>
              <w:left w:val="none"/>
              <w:bottom w:val="single" w:color="E0E0E0" w:sz="1"/>
              <w:right w:val="none"/>
            </w:tcBorders>
            <w:shd w:fill="FBF9F7" w:val="clear"/>
          </w:tcPr>
          <w:p>
            <w:r>
              <w:rPr>
                <w:color w:val="36302C"/>
                <w:sz w:val="21"/>
                <w:szCs w:val="21"/>
              </w:rPr>
              <w:t xml:space="preserve">Latest</w:t>
            </w:r>
          </w:p>
        </w:tc>
        <w:tc>
          <w:tcPr>
            <w:tcBorders>
              <w:top w:val="none"/>
              <w:left w:val="none"/>
              <w:bottom w:val="single" w:color="E0E0E0" w:sz="1"/>
              <w:right w:val="none"/>
            </w:tcBorders>
            <w:shd w:fill="FBF9F7" w:val="clear"/>
          </w:tcPr>
          <w:p>
            <w:r>
              <w:rPr>
                <w:color w:val="36302C"/>
                <w:sz w:val="21"/>
                <w:szCs w:val="21"/>
              </w:rPr>
              <w:t xml:space="preserve">API testing</w:t>
            </w:r>
          </w:p>
        </w:tc>
      </w:tr>
      <w:tr>
        <w:trPr>
          <w:cantSplit/>
        </w:trPr>
        <w:tc>
          <w:tcPr>
            <w:tcBorders>
              <w:top w:val="none"/>
              <w:left w:val="none"/>
              <w:bottom w:val="single" w:color="E0E0E0" w:sz="1"/>
              <w:right w:val="none"/>
            </w:tcBorders>
          </w:tcPr>
          <w:p>
            <w:r>
              <w:rPr>
                <w:color w:val="36302C"/>
                <w:sz w:val="21"/>
                <w:szCs w:val="21"/>
              </w:rPr>
              <w:t xml:space="preserve">Node.js</w:t>
            </w:r>
          </w:p>
        </w:tc>
        <w:tc>
          <w:tcPr>
            <w:tcBorders>
              <w:top w:val="none"/>
              <w:left w:val="none"/>
              <w:bottom w:val="single" w:color="E0E0E0" w:sz="1"/>
              <w:right w:val="none"/>
            </w:tcBorders>
          </w:tcPr>
          <w:p>
            <w:r>
              <w:rPr>
                <w:color w:val="36302C"/>
                <w:sz w:val="21"/>
                <w:szCs w:val="21"/>
              </w:rPr>
              <w:t xml:space="preserve">16+</w:t>
            </w:r>
          </w:p>
        </w:tc>
        <w:tc>
          <w:tcPr>
            <w:tcBorders>
              <w:top w:val="none"/>
              <w:left w:val="none"/>
              <w:bottom w:val="single" w:color="E0E0E0" w:sz="1"/>
              <w:right w:val="none"/>
            </w:tcBorders>
          </w:tcPr>
          <w:p>
            <w:r>
              <w:rPr>
                <w:color w:val="36302C"/>
                <w:sz w:val="21"/>
                <w:szCs w:val="21"/>
              </w:rPr>
              <w:t xml:space="preserve">DOCX generation scripts (tooling only)</w:t>
            </w:r>
          </w:p>
        </w:tc>
      </w:tr>
    </w:tbl>
    <w:p>
      <w:pPr>
        <w:pStyle w:val="Heading2"/>
        <w:spacing w:after="140" w:before="280"/>
      </w:pPr>
      <w:r>
        <w:rPr>
          <w:b/>
          <w:bCs/>
          <w:color w:val="28201C"/>
          <w:sz w:val="28"/>
          <w:szCs w:val="28"/>
        </w:rPr>
        <w:t xml:space="preserve">1.2 Go Module Dependencies</w:t>
      </w:r>
    </w:p>
    <w:p>
      <w:pPr>
        <w:spacing w:after="80" w:line="312"/>
        <w:jc w:val="both"/>
      </w:pPr>
      <w:r>
        <w:rPr>
          <w:color w:val="36302C"/>
          <w:sz w:val="24"/>
          <w:szCs w:val="24"/>
        </w:rPr>
        <w:t xml:space="preserve">The project uses Go modules for dependency management with a single external dependency. The go.mod file declares the module path as 'rdc' and requires only the go-mssqldb package. All other functionality is built using Go standard library packages including net/http, database/sql, encoding/json, fmt, time, math/rand, io, net/url, strconv, strings, and context.</w:t>
      </w:r>
    </w:p>
    <w:p>
      <w:pPr>
        <w:pStyle w:val="Heading1"/>
        <w:spacing w:after="200" w:before="360"/>
      </w:pPr>
      <w:r>
        <w:rPr>
          <w:b/>
          <w:bCs/>
          <w:color w:val="28201C"/>
          <w:sz w:val="32"/>
          <w:szCs w:val="32"/>
        </w:rPr>
        <w:t xml:space="preserve">2. Database Infrastructure</w:t>
      </w:r>
    </w:p>
    <w:p>
      <w:pPr>
        <w:pStyle w:val="Heading2"/>
        <w:spacing w:after="140" w:before="280"/>
      </w:pPr>
      <w:r>
        <w:rPr>
          <w:b/>
          <w:bCs/>
          <w:color w:val="28201C"/>
          <w:sz w:val="28"/>
          <w:szCs w:val="28"/>
        </w:rPr>
        <w:t xml:space="preserve">2.1 SQL Server Express Configuration</w:t>
      </w:r>
    </w:p>
    <w:p>
      <w:pPr>
        <w:spacing w:after="80" w:line="312"/>
        <w:jc w:val="both"/>
      </w:pPr>
      <w:r>
        <w:rPr>
          <w:color w:val="36302C"/>
          <w:sz w:val="24"/>
          <w:szCs w:val="24"/>
        </w:rPr>
        <w:t xml:space="preserve">SQL Server Express runs on localhost port 1433 with SQL Server authentication enabled. The system administrator (sa) account is used with a configured password. The 'rdc' database is created manually before running the migration runner. The connection string uses encrypt=disable for the development environment to simplify setup without requiring TLS certificates.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gridCol w:w="100"/>
      </w:tblGrid>
      <w:tr>
        <w:trPr>
          <w:cantSplit/>
          <w:tblHeader/>
        </w:trPr>
        <w:tc>
          <w:tcPr>
            <w:tcBorders>
              <w:top w:val="single" w:color="7A5C3A" w:sz="4"/>
              <w:left w:val="none"/>
              <w:bottom w:val="single" w:color="7A5C3A" w:sz="2"/>
              <w:right w:val="none"/>
            </w:tcBorders>
            <w:shd w:fill="FBF9F7" w:val="clear"/>
          </w:tcPr>
          <w:p>
            <w:r>
              <w:rPr>
                <w:b/>
                <w:bCs/>
                <w:color w:val="28201C"/>
                <w:sz w:val="21"/>
                <w:szCs w:val="21"/>
              </w:rPr>
              <w:t xml:space="preserve">Parameter</w:t>
            </w:r>
          </w:p>
        </w:tc>
        <w:tc>
          <w:tcPr>
            <w:tcBorders>
              <w:top w:val="single" w:color="7A5C3A" w:sz="4"/>
              <w:left w:val="none"/>
              <w:bottom w:val="single" w:color="7A5C3A" w:sz="2"/>
              <w:right w:val="none"/>
            </w:tcBorders>
            <w:shd w:fill="FBF9F7" w:val="clear"/>
          </w:tcPr>
          <w:p>
            <w:r>
              <w:rPr>
                <w:b/>
                <w:bCs/>
                <w:color w:val="28201C"/>
                <w:sz w:val="21"/>
                <w:szCs w:val="21"/>
              </w:rPr>
              <w:t xml:space="preserve">Value</w:t>
            </w:r>
          </w:p>
        </w:tc>
        <w:tc>
          <w:tcPr>
            <w:tcBorders>
              <w:top w:val="single" w:color="7A5C3A" w:sz="4"/>
              <w:left w:val="none"/>
              <w:bottom w:val="single" w:color="7A5C3A" w:sz="2"/>
              <w:right w:val="none"/>
            </w:tcBorders>
            <w:shd w:fill="FBF9F7" w:val="clear"/>
          </w:tcPr>
          <w:p>
            <w:r>
              <w:rPr>
                <w:b/>
                <w:bCs/>
                <w:color w:val="28201C"/>
                <w:sz w:val="21"/>
                <w:szCs w:val="21"/>
              </w:rPr>
              <w:t xml:space="preserve">Notes</w:t>
            </w:r>
          </w:p>
        </w:tc>
      </w:tr>
      <w:tr>
        <w:trPr>
          <w:cantSplit/>
        </w:trPr>
        <w:tc>
          <w:tcPr>
            <w:tcBorders>
              <w:top w:val="none"/>
              <w:left w:val="none"/>
              <w:bottom w:val="single" w:color="E0E0E0" w:sz="1"/>
              <w:right w:val="none"/>
            </w:tcBorders>
            <w:shd w:fill="FBF9F7" w:val="clear"/>
          </w:tcPr>
          <w:p>
            <w:r>
              <w:rPr>
                <w:color w:val="36302C"/>
                <w:sz w:val="21"/>
                <w:szCs w:val="21"/>
              </w:rPr>
              <w:t xml:space="preserve">Server</w:t>
            </w:r>
          </w:p>
        </w:tc>
        <w:tc>
          <w:tcPr>
            <w:tcBorders>
              <w:top w:val="none"/>
              <w:left w:val="none"/>
              <w:bottom w:val="single" w:color="E0E0E0" w:sz="1"/>
              <w:right w:val="none"/>
            </w:tcBorders>
            <w:shd w:fill="FBF9F7" w:val="clear"/>
          </w:tcPr>
          <w:p>
            <w:r>
              <w:rPr>
                <w:color w:val="36302C"/>
                <w:sz w:val="21"/>
                <w:szCs w:val="21"/>
              </w:rPr>
              <w:t xml:space="preserve">localhost</w:t>
            </w:r>
          </w:p>
        </w:tc>
        <w:tc>
          <w:tcPr>
            <w:tcBorders>
              <w:top w:val="none"/>
              <w:left w:val="none"/>
              <w:bottom w:val="single" w:color="E0E0E0" w:sz="1"/>
              <w:right w:val="none"/>
            </w:tcBorders>
            <w:shd w:fill="FBF9F7" w:val="clear"/>
          </w:tcPr>
          <w:p>
            <w:r>
              <w:rPr>
                <w:color w:val="36302C"/>
                <w:sz w:val="21"/>
                <w:szCs w:val="21"/>
              </w:rPr>
              <w:t xml:space="preserve">Development environment</w:t>
            </w:r>
          </w:p>
        </w:tc>
      </w:tr>
      <w:tr>
        <w:trPr>
          <w:cantSplit/>
        </w:trPr>
        <w:tc>
          <w:tcPr>
            <w:tcBorders>
              <w:top w:val="none"/>
              <w:left w:val="none"/>
              <w:bottom w:val="single" w:color="E0E0E0" w:sz="1"/>
              <w:right w:val="none"/>
            </w:tcBorders>
          </w:tcPr>
          <w:p>
            <w:r>
              <w:rPr>
                <w:color w:val="36302C"/>
                <w:sz w:val="21"/>
                <w:szCs w:val="21"/>
              </w:rPr>
              <w:t xml:space="preserve">Port</w:t>
            </w:r>
          </w:p>
        </w:tc>
        <w:tc>
          <w:tcPr>
            <w:tcBorders>
              <w:top w:val="none"/>
              <w:left w:val="none"/>
              <w:bottom w:val="single" w:color="E0E0E0" w:sz="1"/>
              <w:right w:val="none"/>
            </w:tcBorders>
          </w:tcPr>
          <w:p>
            <w:r>
              <w:rPr>
                <w:color w:val="36302C"/>
                <w:sz w:val="21"/>
                <w:szCs w:val="21"/>
              </w:rPr>
              <w:t xml:space="preserve">1433</w:t>
            </w:r>
          </w:p>
        </w:tc>
        <w:tc>
          <w:tcPr>
            <w:tcBorders>
              <w:top w:val="none"/>
              <w:left w:val="none"/>
              <w:bottom w:val="single" w:color="E0E0E0" w:sz="1"/>
              <w:right w:val="none"/>
            </w:tcBorders>
          </w:tcPr>
          <w:p>
            <w:r>
              <w:rPr>
                <w:color w:val="36302C"/>
                <w:sz w:val="21"/>
                <w:szCs w:val="21"/>
              </w:rPr>
              <w:t xml:space="preserve">Default SQL Server port</w:t>
            </w:r>
          </w:p>
        </w:tc>
      </w:tr>
      <w:tr>
        <w:trPr>
          <w:cantSplit/>
        </w:trPr>
        <w:tc>
          <w:tcPr>
            <w:tcBorders>
              <w:top w:val="none"/>
              <w:left w:val="none"/>
              <w:bottom w:val="single" w:color="E0E0E0" w:sz="1"/>
              <w:right w:val="none"/>
            </w:tcBorders>
            <w:shd w:fill="FBF9F7" w:val="clear"/>
          </w:tcPr>
          <w:p>
            <w:r>
              <w:rPr>
                <w:color w:val="36302C"/>
                <w:sz w:val="21"/>
                <w:szCs w:val="21"/>
              </w:rPr>
              <w:t xml:space="preserve">Authentication</w:t>
            </w:r>
          </w:p>
        </w:tc>
        <w:tc>
          <w:tcPr>
            <w:tcBorders>
              <w:top w:val="none"/>
              <w:left w:val="none"/>
              <w:bottom w:val="single" w:color="E0E0E0" w:sz="1"/>
              <w:right w:val="none"/>
            </w:tcBorders>
            <w:shd w:fill="FBF9F7" w:val="clear"/>
          </w:tcPr>
          <w:p>
            <w:r>
              <w:rPr>
                <w:color w:val="36302C"/>
                <w:sz w:val="21"/>
                <w:szCs w:val="21"/>
              </w:rPr>
              <w:t xml:space="preserve">SQL Server</w:t>
            </w:r>
          </w:p>
        </w:tc>
        <w:tc>
          <w:tcPr>
            <w:tcBorders>
              <w:top w:val="none"/>
              <w:left w:val="none"/>
              <w:bottom w:val="single" w:color="E0E0E0" w:sz="1"/>
              <w:right w:val="none"/>
            </w:tcBorders>
            <w:shd w:fill="FBF9F7" w:val="clear"/>
          </w:tcPr>
          <w:p>
            <w:r>
              <w:rPr>
                <w:color w:val="36302C"/>
                <w:sz w:val="21"/>
                <w:szCs w:val="21"/>
              </w:rPr>
              <w:t xml:space="preserve">sa login</w:t>
            </w:r>
          </w:p>
        </w:tc>
      </w:tr>
      <w:tr>
        <w:trPr>
          <w:cantSplit/>
        </w:trPr>
        <w:tc>
          <w:tcPr>
            <w:tcBorders>
              <w:top w:val="none"/>
              <w:left w:val="none"/>
              <w:bottom w:val="single" w:color="E0E0E0" w:sz="1"/>
              <w:right w:val="none"/>
            </w:tcBorders>
          </w:tcPr>
          <w:p>
            <w:r>
              <w:rPr>
                <w:color w:val="36302C"/>
                <w:sz w:val="21"/>
                <w:szCs w:val="21"/>
              </w:rPr>
              <w:t xml:space="preserve">Database</w:t>
            </w:r>
          </w:p>
        </w:tc>
        <w:tc>
          <w:tcPr>
            <w:tcBorders>
              <w:top w:val="none"/>
              <w:left w:val="none"/>
              <w:bottom w:val="single" w:color="E0E0E0" w:sz="1"/>
              <w:right w:val="none"/>
            </w:tcBorders>
          </w:tcPr>
          <w:p>
            <w:r>
              <w:rPr>
                <w:color w:val="36302C"/>
                <w:sz w:val="21"/>
                <w:szCs w:val="21"/>
              </w:rPr>
              <w:t xml:space="preserve">rdc</w:t>
            </w:r>
          </w:p>
        </w:tc>
        <w:tc>
          <w:tcPr>
            <w:tcBorders>
              <w:top w:val="none"/>
              <w:left w:val="none"/>
              <w:bottom w:val="single" w:color="E0E0E0" w:sz="1"/>
              <w:right w:val="none"/>
            </w:tcBorders>
          </w:tcPr>
          <w:p>
            <w:r>
              <w:rPr>
                <w:color w:val="36302C"/>
                <w:sz w:val="21"/>
                <w:szCs w:val="21"/>
              </w:rPr>
              <w:t xml:space="preserve">Created manually</w:t>
            </w:r>
          </w:p>
        </w:tc>
      </w:tr>
      <w:tr>
        <w:trPr>
          <w:cantSplit/>
        </w:trPr>
        <w:tc>
          <w:tcPr>
            <w:tcBorders>
              <w:top w:val="none"/>
              <w:left w:val="none"/>
              <w:bottom w:val="single" w:color="E0E0E0" w:sz="1"/>
              <w:right w:val="none"/>
            </w:tcBorders>
            <w:shd w:fill="FBF9F7" w:val="clear"/>
          </w:tcPr>
          <w:p>
            <w:r>
              <w:rPr>
                <w:color w:val="36302C"/>
                <w:sz w:val="21"/>
                <w:szCs w:val="21"/>
              </w:rPr>
              <w:t xml:space="preserve">Encryption</w:t>
            </w:r>
          </w:p>
        </w:tc>
        <w:tc>
          <w:tcPr>
            <w:tcBorders>
              <w:top w:val="none"/>
              <w:left w:val="none"/>
              <w:bottom w:val="single" w:color="E0E0E0" w:sz="1"/>
              <w:right w:val="none"/>
            </w:tcBorders>
            <w:shd w:fill="FBF9F7" w:val="clear"/>
          </w:tcPr>
          <w:p>
            <w:r>
              <w:rPr>
                <w:color w:val="36302C"/>
                <w:sz w:val="21"/>
                <w:szCs w:val="21"/>
              </w:rPr>
              <w:t xml:space="preserve">Disabled</w:t>
            </w:r>
          </w:p>
        </w:tc>
        <w:tc>
          <w:tcPr>
            <w:tcBorders>
              <w:top w:val="none"/>
              <w:left w:val="none"/>
              <w:bottom w:val="single" w:color="E0E0E0" w:sz="1"/>
              <w:right w:val="none"/>
            </w:tcBorders>
            <w:shd w:fill="FBF9F7" w:val="clear"/>
          </w:tcPr>
          <w:p>
            <w:r>
              <w:rPr>
                <w:color w:val="36302C"/>
                <w:sz w:val="21"/>
                <w:szCs w:val="21"/>
              </w:rPr>
              <w:t xml:space="preserve">Development only</w:t>
            </w:r>
          </w:p>
        </w:tc>
      </w:tr>
    </w:tbl>
    <w:p>
      <w:pPr>
        <w:pStyle w:val="Heading2"/>
        <w:spacing w:after="140" w:before="280"/>
      </w:pPr>
      <w:r>
        <w:rPr>
          <w:b/>
          <w:bCs/>
          <w:color w:val="28201C"/>
          <w:sz w:val="28"/>
          <w:szCs w:val="28"/>
        </w:rPr>
        <w:t xml:space="preserve">2.2 Migration Strategy</w:t>
      </w:r>
    </w:p>
    <w:p>
      <w:pPr>
        <w:spacing w:after="80" w:line="312"/>
        <w:jc w:val="both"/>
      </w:pPr>
      <w:r>
        <w:rPr>
          <w:color w:val="36302C"/>
          <w:sz w:val="24"/>
          <w:szCs w:val="24"/>
        </w:rPr>
        <w:t xml:space="preserve">Database migrations are managed through numbered SQL files stored in the migrations/ directory. The migration runner (cmd/migrate/main.go) reads the SQL file and executes it against the configured database. The current migration file (001_init.sql) uses DROP TABLE IF EXISTS statements to ensure a clean slate, followed by CREATE TABLE statements for all tables and INSERT statements for configuration data. Future migrations should follow the same naming convention (002_xxx.sql, 003_xxx.sql).</w:t>
      </w:r>
    </w:p>
    <w:p>
      <w:pPr>
        <w:pStyle w:val="Heading1"/>
        <w:spacing w:after="200" w:before="360"/>
      </w:pPr>
      <w:r>
        <w:rPr>
          <w:b/>
          <w:bCs/>
          <w:color w:val="28201C"/>
          <w:sz w:val="32"/>
          <w:szCs w:val="32"/>
        </w:rPr>
        <w:t xml:space="preserve">3. Application Server</w:t>
      </w:r>
    </w:p>
    <w:p>
      <w:pPr>
        <w:pStyle w:val="Heading2"/>
        <w:spacing w:after="140" w:before="280"/>
      </w:pPr>
      <w:r>
        <w:rPr>
          <w:b/>
          <w:bCs/>
          <w:color w:val="28201C"/>
          <w:sz w:val="28"/>
          <w:szCs w:val="28"/>
        </w:rPr>
        <w:t xml:space="preserve">3.1 Runtime Configuration</w:t>
      </w:r>
    </w:p>
    <w:p>
      <w:pPr>
        <w:spacing w:after="80" w:line="312"/>
        <w:jc w:val="both"/>
      </w:pPr>
      <w:r>
        <w:rPr>
          <w:color w:val="36302C"/>
          <w:sz w:val="24"/>
          <w:szCs w:val="24"/>
        </w:rPr>
        <w:t xml:space="preserve">The application reads configuration from environment variables with sensible fallback defaults. The config package (config/config.go) provides a Load() function that constructs a Config struct with database connection parameters, SMS provider settings (Softline credentials and URL), LW provider mode, and OTP configuration (code length and expiry duration). The .env file at the project root defines all available configuration keys.</w:t>
      </w:r>
    </w:p>
    <w:p>
      <w:pPr>
        <w:pStyle w:val="Heading2"/>
        <w:spacing w:after="140" w:before="280"/>
      </w:pPr>
      <w:r>
        <w:rPr>
          <w:b/>
          <w:bCs/>
          <w:color w:val="28201C"/>
          <w:sz w:val="28"/>
          <w:szCs w:val="28"/>
        </w:rPr>
        <w:t xml:space="preserve">3.2 Server Architecture</w:t>
      </w:r>
    </w:p>
    <w:p>
      <w:pPr>
        <w:spacing w:after="80" w:line="312"/>
        <w:jc w:val="both"/>
      </w:pPr>
      <w:r>
        <w:rPr>
          <w:color w:val="36302C"/>
          <w:sz w:val="24"/>
          <w:szCs w:val="24"/>
        </w:rPr>
        <w:t xml:space="preserve">The HTTP server uses Go's standard net/http package with a ServeMux for route registration. All API endpoints are prefixed with /api/v1/applications/ and follow RESTful conventions. The server listens on port 8080 by default. No middleware framework is used; however, the handler layer naturally provides input validation, error formatting, and consistent JSON response structure through shared helper functions (writeJSON, writeError).</w:t>
      </w:r>
    </w:p>
    <w:p>
      <w:pPr>
        <w:pStyle w:val="Heading1"/>
        <w:spacing w:after="200" w:before="360"/>
      </w:pPr>
      <w:r>
        <w:rPr>
          <w:b/>
          <w:bCs/>
          <w:color w:val="28201C"/>
          <w:sz w:val="32"/>
          <w:szCs w:val="32"/>
        </w:rPr>
        <w:t xml:space="preserve">4. External Service Connectivity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gridCol w:w="100"/>
        <w:gridCol w:w="100"/>
      </w:tblGrid>
      <w:tr>
        <w:trPr>
          <w:cantSplit/>
          <w:tblHeader/>
        </w:trPr>
        <w:tc>
          <w:tcPr>
            <w:tcBorders>
              <w:top w:val="single" w:color="7A5C3A" w:sz="4"/>
              <w:left w:val="none"/>
              <w:bottom w:val="single" w:color="7A5C3A" w:sz="2"/>
              <w:right w:val="none"/>
            </w:tcBorders>
            <w:shd w:fill="FBF9F7" w:val="clear"/>
          </w:tcPr>
          <w:p>
            <w:r>
              <w:rPr>
                <w:b/>
                <w:bCs/>
                <w:color w:val="28201C"/>
                <w:sz w:val="21"/>
                <w:szCs w:val="21"/>
              </w:rPr>
              <w:t xml:space="preserve">Service</w:t>
            </w:r>
          </w:p>
        </w:tc>
        <w:tc>
          <w:tcPr>
            <w:tcBorders>
              <w:top w:val="single" w:color="7A5C3A" w:sz="4"/>
              <w:left w:val="none"/>
              <w:bottom w:val="single" w:color="7A5C3A" w:sz="2"/>
              <w:right w:val="none"/>
            </w:tcBorders>
            <w:shd w:fill="FBF9F7" w:val="clear"/>
          </w:tcPr>
          <w:p>
            <w:r>
              <w:rPr>
                <w:b/>
                <w:bCs/>
                <w:color w:val="28201C"/>
                <w:sz w:val="21"/>
                <w:szCs w:val="21"/>
              </w:rPr>
              <w:t xml:space="preserve">Protocol</w:t>
            </w:r>
          </w:p>
        </w:tc>
        <w:tc>
          <w:tcPr>
            <w:tcBorders>
              <w:top w:val="single" w:color="7A5C3A" w:sz="4"/>
              <w:left w:val="none"/>
              <w:bottom w:val="single" w:color="7A5C3A" w:sz="2"/>
              <w:right w:val="none"/>
            </w:tcBorders>
            <w:shd w:fill="FBF9F7" w:val="clear"/>
          </w:tcPr>
          <w:p>
            <w:r>
              <w:rPr>
                <w:b/>
                <w:bCs/>
                <w:color w:val="28201C"/>
                <w:sz w:val="21"/>
                <w:szCs w:val="21"/>
              </w:rPr>
              <w:t xml:space="preserve">Direction</w:t>
            </w:r>
          </w:p>
        </w:tc>
        <w:tc>
          <w:tcPr>
            <w:tcBorders>
              <w:top w:val="single" w:color="7A5C3A" w:sz="4"/>
              <w:left w:val="none"/>
              <w:bottom w:val="single" w:color="7A5C3A" w:sz="2"/>
              <w:right w:val="none"/>
            </w:tcBorders>
            <w:shd w:fill="FBF9F7" w:val="clear"/>
          </w:tcPr>
          <w:p>
            <w:r>
              <w:rPr>
                <w:b/>
                <w:bCs/>
                <w:color w:val="28201C"/>
                <w:sz w:val="21"/>
                <w:szCs w:val="21"/>
              </w:rPr>
              <w:t xml:space="preserve">Auth Method</w:t>
            </w:r>
          </w:p>
        </w:tc>
      </w:tr>
      <w:tr>
        <w:trPr>
          <w:cantSplit/>
        </w:trPr>
        <w:tc>
          <w:tcPr>
            <w:tcBorders>
              <w:top w:val="none"/>
              <w:left w:val="none"/>
              <w:bottom w:val="single" w:color="E0E0E0" w:sz="1"/>
              <w:right w:val="none"/>
            </w:tcBorders>
            <w:shd w:fill="FBF9F7" w:val="clear"/>
          </w:tcPr>
          <w:p>
            <w:r>
              <w:rPr>
                <w:color w:val="36302C"/>
                <w:sz w:val="21"/>
                <w:szCs w:val="21"/>
              </w:rPr>
              <w:t xml:space="preserve">Softline SMS Gateway</w:t>
            </w:r>
          </w:p>
        </w:tc>
        <w:tc>
          <w:tcPr>
            <w:tcBorders>
              <w:top w:val="none"/>
              <w:left w:val="none"/>
              <w:bottom w:val="single" w:color="E0E0E0" w:sz="1"/>
              <w:right w:val="none"/>
            </w:tcBorders>
            <w:shd w:fill="FBF9F7" w:val="clear"/>
          </w:tcPr>
          <w:p>
            <w:r>
              <w:rPr>
                <w:color w:val="36302C"/>
                <w:sz w:val="21"/>
                <w:szCs w:val="21"/>
              </w:rPr>
              <w:t xml:space="preserve">HTTP GET</w:t>
            </w:r>
          </w:p>
        </w:tc>
        <w:tc>
          <w:tcPr>
            <w:tcBorders>
              <w:top w:val="none"/>
              <w:left w:val="none"/>
              <w:bottom w:val="single" w:color="E0E0E0" w:sz="1"/>
              <w:right w:val="none"/>
            </w:tcBorders>
            <w:shd w:fill="FBF9F7" w:val="clear"/>
          </w:tcPr>
          <w:p>
            <w:r>
              <w:rPr>
                <w:color w:val="36302C"/>
                <w:sz w:val="21"/>
                <w:szCs w:val="21"/>
              </w:rPr>
              <w:t xml:space="preserve">Outbound</w:t>
            </w:r>
          </w:p>
        </w:tc>
        <w:tc>
          <w:tcPr>
            <w:tcBorders>
              <w:top w:val="none"/>
              <w:left w:val="none"/>
              <w:bottom w:val="single" w:color="E0E0E0" w:sz="1"/>
              <w:right w:val="none"/>
            </w:tcBorders>
            <w:shd w:fill="FBF9F7" w:val="clear"/>
          </w:tcPr>
          <w:p>
            <w:r>
              <w:rPr>
                <w:color w:val="36302C"/>
                <w:sz w:val="21"/>
                <w:szCs w:val="21"/>
              </w:rPr>
              <w:t xml:space="preserve">Query string (user+password)</w:t>
            </w:r>
          </w:p>
        </w:tc>
      </w:tr>
      <w:tr>
        <w:trPr>
          <w:cantSplit/>
        </w:trPr>
        <w:tc>
          <w:tcPr>
            <w:tcBorders>
              <w:top w:val="none"/>
              <w:left w:val="none"/>
              <w:bottom w:val="single" w:color="E0E0E0" w:sz="1"/>
              <w:right w:val="none"/>
            </w:tcBorders>
          </w:tcPr>
          <w:p>
            <w:r>
              <w:rPr>
                <w:color w:val="36302C"/>
                <w:sz w:val="21"/>
                <w:szCs w:val="21"/>
              </w:rPr>
              <w:t xml:space="preserve">SIMA KYC</w:t>
            </w:r>
          </w:p>
        </w:tc>
        <w:tc>
          <w:tcPr>
            <w:tcBorders>
              <w:top w:val="none"/>
              <w:left w:val="none"/>
              <w:bottom w:val="single" w:color="E0E0E0" w:sz="1"/>
              <w:right w:val="none"/>
            </w:tcBorders>
          </w:tcPr>
          <w:p>
            <w:r>
              <w:rPr>
                <w:color w:val="36302C"/>
                <w:sz w:val="21"/>
                <w:szCs w:val="21"/>
              </w:rPr>
              <w:t xml:space="preserve">Via LW Provider</w:t>
            </w:r>
          </w:p>
        </w:tc>
        <w:tc>
          <w:tcPr>
            <w:tcBorders>
              <w:top w:val="none"/>
              <w:left w:val="none"/>
              <w:bottom w:val="single" w:color="E0E0E0" w:sz="1"/>
              <w:right w:val="none"/>
            </w:tcBorders>
          </w:tcPr>
          <w:p>
            <w:r>
              <w:rPr>
                <w:color w:val="36302C"/>
                <w:sz w:val="21"/>
                <w:szCs w:val="21"/>
              </w:rPr>
              <w:t xml:space="preserve">Outbound</w:t>
            </w:r>
          </w:p>
        </w:tc>
        <w:tc>
          <w:tcPr>
            <w:tcBorders>
              <w:top w:val="none"/>
              <w:left w:val="none"/>
              <w:bottom w:val="single" w:color="E0E0E0" w:sz="1"/>
              <w:right w:val="none"/>
            </w:tcBorders>
          </w:tcPr>
          <w:p>
            <w:r>
              <w:rPr>
                <w:color w:val="36302C"/>
                <w:sz w:val="21"/>
                <w:szCs w:val="21"/>
              </w:rPr>
              <w:t xml:space="preserve">LW internal auth</w:t>
            </w:r>
          </w:p>
        </w:tc>
      </w:tr>
      <w:tr>
        <w:trPr>
          <w:cantSplit/>
        </w:trPr>
        <w:tc>
          <w:tcPr>
            <w:tcBorders>
              <w:top w:val="none"/>
              <w:left w:val="none"/>
              <w:bottom w:val="single" w:color="E0E0E0" w:sz="1"/>
              <w:right w:val="none"/>
            </w:tcBorders>
            <w:shd w:fill="FBF9F7" w:val="clear"/>
          </w:tcPr>
          <w:p>
            <w:r>
              <w:rPr>
                <w:color w:val="36302C"/>
                <w:sz w:val="21"/>
                <w:szCs w:val="21"/>
              </w:rPr>
              <w:t xml:space="preserve">ASAN Finance / MyGov</w:t>
            </w:r>
          </w:p>
        </w:tc>
        <w:tc>
          <w:tcPr>
            <w:tcBorders>
              <w:top w:val="none"/>
              <w:left w:val="none"/>
              <w:bottom w:val="single" w:color="E0E0E0" w:sz="1"/>
              <w:right w:val="none"/>
            </w:tcBorders>
            <w:shd w:fill="FBF9F7" w:val="clear"/>
          </w:tcPr>
          <w:p>
            <w:r>
              <w:rPr>
                <w:color w:val="36302C"/>
                <w:sz w:val="21"/>
                <w:szCs w:val="21"/>
              </w:rPr>
              <w:t xml:space="preserve">Via LW Provider</w:t>
            </w:r>
          </w:p>
        </w:tc>
        <w:tc>
          <w:tcPr>
            <w:tcBorders>
              <w:top w:val="none"/>
              <w:left w:val="none"/>
              <w:bottom w:val="single" w:color="E0E0E0" w:sz="1"/>
              <w:right w:val="none"/>
            </w:tcBorders>
            <w:shd w:fill="FBF9F7" w:val="clear"/>
          </w:tcPr>
          <w:p>
            <w:r>
              <w:rPr>
                <w:color w:val="36302C"/>
                <w:sz w:val="21"/>
                <w:szCs w:val="21"/>
              </w:rPr>
              <w:t xml:space="preserve">Outbound</w:t>
            </w:r>
          </w:p>
        </w:tc>
        <w:tc>
          <w:tcPr>
            <w:tcBorders>
              <w:top w:val="none"/>
              <w:left w:val="none"/>
              <w:bottom w:val="single" w:color="E0E0E0" w:sz="1"/>
              <w:right w:val="none"/>
            </w:tcBorders>
            <w:shd w:fill="FBF9F7" w:val="clear"/>
          </w:tcPr>
          <w:p>
            <w:r>
              <w:rPr>
                <w:color w:val="36302C"/>
                <w:sz w:val="21"/>
                <w:szCs w:val="21"/>
              </w:rPr>
              <w:t xml:space="preserve">LW internal auth</w:t>
            </w:r>
          </w:p>
        </w:tc>
      </w:tr>
      <w:tr>
        <w:trPr>
          <w:cantSplit/>
        </w:trPr>
        <w:tc>
          <w:tcPr>
            <w:tcBorders>
              <w:top w:val="none"/>
              <w:left w:val="none"/>
              <w:bottom w:val="single" w:color="E0E0E0" w:sz="1"/>
              <w:right w:val="none"/>
            </w:tcBorders>
          </w:tcPr>
          <w:p>
            <w:r>
              <w:rPr>
                <w:color w:val="36302C"/>
                <w:sz w:val="21"/>
                <w:szCs w:val="21"/>
              </w:rPr>
              <w:t xml:space="preserve">AKB Credit Bureau</w:t>
            </w:r>
          </w:p>
        </w:tc>
        <w:tc>
          <w:tcPr>
            <w:tcBorders>
              <w:top w:val="none"/>
              <w:left w:val="none"/>
              <w:bottom w:val="single" w:color="E0E0E0" w:sz="1"/>
              <w:right w:val="none"/>
            </w:tcBorders>
          </w:tcPr>
          <w:p>
            <w:r>
              <w:rPr>
                <w:color w:val="36302C"/>
                <w:sz w:val="21"/>
                <w:szCs w:val="21"/>
              </w:rPr>
              <w:t xml:space="preserve">Via LW Provider</w:t>
            </w:r>
          </w:p>
        </w:tc>
        <w:tc>
          <w:tcPr>
            <w:tcBorders>
              <w:top w:val="none"/>
              <w:left w:val="none"/>
              <w:bottom w:val="single" w:color="E0E0E0" w:sz="1"/>
              <w:right w:val="none"/>
            </w:tcBorders>
          </w:tcPr>
          <w:p>
            <w:r>
              <w:rPr>
                <w:color w:val="36302C"/>
                <w:sz w:val="21"/>
                <w:szCs w:val="21"/>
              </w:rPr>
              <w:t xml:space="preserve">Outbound</w:t>
            </w:r>
          </w:p>
        </w:tc>
        <w:tc>
          <w:tcPr>
            <w:tcBorders>
              <w:top w:val="none"/>
              <w:left w:val="none"/>
              <w:bottom w:val="single" w:color="E0E0E0" w:sz="1"/>
              <w:right w:val="none"/>
            </w:tcBorders>
          </w:tcPr>
          <w:p>
            <w:r>
              <w:rPr>
                <w:color w:val="36302C"/>
                <w:sz w:val="21"/>
                <w:szCs w:val="21"/>
              </w:rPr>
              <w:t xml:space="preserve">LW internal auth</w:t>
            </w:r>
          </w:p>
        </w:tc>
      </w:tr>
      <w:tr>
        <w:trPr>
          <w:cantSplit/>
        </w:trPr>
        <w:tc>
          <w:tcPr>
            <w:tcBorders>
              <w:top w:val="none"/>
              <w:left w:val="none"/>
              <w:bottom w:val="single" w:color="E0E0E0" w:sz="1"/>
              <w:right w:val="none"/>
            </w:tcBorders>
            <w:shd w:fill="FBF9F7" w:val="clear"/>
          </w:tcPr>
          <w:p>
            <w:r>
              <w:rPr>
                <w:color w:val="36302C"/>
                <w:sz w:val="21"/>
                <w:szCs w:val="21"/>
              </w:rPr>
              <w:t xml:space="preserve">LW Approve Service</w:t>
            </w:r>
          </w:p>
        </w:tc>
        <w:tc>
          <w:tcPr>
            <w:tcBorders>
              <w:top w:val="none"/>
              <w:left w:val="none"/>
              <w:bottom w:val="single" w:color="E0E0E0" w:sz="1"/>
              <w:right w:val="none"/>
            </w:tcBorders>
            <w:shd w:fill="FBF9F7" w:val="clear"/>
          </w:tcPr>
          <w:p>
            <w:r>
              <w:rPr>
                <w:color w:val="36302C"/>
                <w:sz w:val="21"/>
                <w:szCs w:val="21"/>
              </w:rPr>
              <w:t xml:space="preserve">Via LW Provider</w:t>
            </w:r>
          </w:p>
        </w:tc>
        <w:tc>
          <w:tcPr>
            <w:tcBorders>
              <w:top w:val="none"/>
              <w:left w:val="none"/>
              <w:bottom w:val="single" w:color="E0E0E0" w:sz="1"/>
              <w:right w:val="none"/>
            </w:tcBorders>
            <w:shd w:fill="FBF9F7" w:val="clear"/>
          </w:tcPr>
          <w:p>
            <w:r>
              <w:rPr>
                <w:color w:val="36302C"/>
                <w:sz w:val="21"/>
                <w:szCs w:val="21"/>
              </w:rPr>
              <w:t xml:space="preserve">Outbound</w:t>
            </w:r>
          </w:p>
        </w:tc>
        <w:tc>
          <w:tcPr>
            <w:tcBorders>
              <w:top w:val="none"/>
              <w:left w:val="none"/>
              <w:bottom w:val="single" w:color="E0E0E0" w:sz="1"/>
              <w:right w:val="none"/>
            </w:tcBorders>
            <w:shd w:fill="FBF9F7" w:val="clear"/>
          </w:tcPr>
          <w:p>
            <w:r>
              <w:rPr>
                <w:color w:val="36302C"/>
                <w:sz w:val="21"/>
                <w:szCs w:val="21"/>
              </w:rPr>
              <w:t xml:space="preserve">LW internal auth</w:t>
            </w:r>
          </w:p>
        </w:tc>
      </w:tr>
    </w:tbl>
    <w:p>
      <w:pPr>
        <w:spacing w:after="80" w:line="312"/>
        <w:jc w:val="both"/>
      </w:pPr>
      <w:r>
        <w:rPr>
          <w:color w:val="36302C"/>
          <w:sz w:val="24"/>
          <w:szCs w:val="24"/>
        </w:rPr>
        <w:t xml:space="preserve">All external services are accessed through the LW Provider interface (pkg/lw/provider.go), which abstracts authentication, request formatting, and response parsing. The mock implementation allows the entire system to function without any external connectivity, making it ideal for development, testing, and CI/CD pipelines.</w:t>
      </w:r>
    </w:p>
    <w:p>
      <w:pPr>
        <w:pStyle w:val="Heading1"/>
        <w:spacing w:after="200" w:before="360"/>
      </w:pPr>
      <w:r>
        <w:rPr>
          <w:b/>
          <w:bCs/>
          <w:color w:val="28201C"/>
          <w:sz w:val="32"/>
          <w:szCs w:val="32"/>
        </w:rPr>
        <w:t xml:space="preserve">5. Source Code Organization</w:t>
      </w:r>
    </w:p>
    <w:p>
      <w:pPr>
        <w:spacing w:after="80" w:line="312"/>
        <w:jc w:val="both"/>
      </w:pPr>
      <w:r>
        <w:rPr>
          <w:color w:val="36302C"/>
          <w:sz w:val="24"/>
          <w:szCs w:val="24"/>
        </w:rPr>
        <w:t xml:space="preserve">The source code follows a clean 3-layer architecture with clear separation of concerns. The pkg/ directory contains reusable provider packages (sms, otp, lw) with interface definitions and implementations. The internal/ directory contains application-specific code organized by layer: model/ for data structures, repository/ for database access, service/ for business logic, and handler/ for HTTP endpoints. The config/ directory provides centralized configuration management, and migrations/ contains database schema files.</w:t>
      </w:r>
    </w:p>
    <w:p>
      <w:pPr>
        <w:pStyle w:val="Heading1"/>
        <w:spacing w:after="200" w:before="360"/>
      </w:pPr>
      <w:r>
        <w:rPr>
          <w:b/>
          <w:bCs/>
          <w:color w:val="28201C"/>
          <w:sz w:val="32"/>
          <w:szCs w:val="32"/>
        </w:rPr>
        <w:t xml:space="preserve">6. Environment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00"/>
        <w:gridCol w:w="100"/>
        <w:gridCol w:w="100"/>
        <w:gridCol w:w="100"/>
      </w:tblGrid>
      <w:tr>
        <w:trPr>
          <w:cantSplit/>
          <w:tblHeader/>
        </w:trPr>
        <w:tc>
          <w:tcPr>
            <w:tcBorders>
              <w:top w:val="single" w:color="7A5C3A" w:sz="4"/>
              <w:left w:val="none"/>
              <w:bottom w:val="single" w:color="7A5C3A" w:sz="2"/>
              <w:right w:val="none"/>
            </w:tcBorders>
            <w:shd w:fill="FBF9F7" w:val="clear"/>
          </w:tcPr>
          <w:p>
            <w:r>
              <w:rPr>
                <w:b/>
                <w:bCs/>
                <w:color w:val="28201C"/>
                <w:sz w:val="21"/>
                <w:szCs w:val="21"/>
              </w:rPr>
              <w:t xml:space="preserve">Environment</w:t>
            </w:r>
          </w:p>
        </w:tc>
        <w:tc>
          <w:tcPr>
            <w:tcBorders>
              <w:top w:val="single" w:color="7A5C3A" w:sz="4"/>
              <w:left w:val="none"/>
              <w:bottom w:val="single" w:color="7A5C3A" w:sz="2"/>
              <w:right w:val="none"/>
            </w:tcBorders>
            <w:shd w:fill="FBF9F7" w:val="clear"/>
          </w:tcPr>
          <w:p>
            <w:r>
              <w:rPr>
                <w:b/>
                <w:bCs/>
                <w:color w:val="28201C"/>
                <w:sz w:val="21"/>
                <w:szCs w:val="21"/>
              </w:rPr>
              <w:t xml:space="preserve">SMS_PROVIDER</w:t>
            </w:r>
          </w:p>
        </w:tc>
        <w:tc>
          <w:tcPr>
            <w:tcBorders>
              <w:top w:val="single" w:color="7A5C3A" w:sz="4"/>
              <w:left w:val="none"/>
              <w:bottom w:val="single" w:color="7A5C3A" w:sz="2"/>
              <w:right w:val="none"/>
            </w:tcBorders>
            <w:shd w:fill="FBF9F7" w:val="clear"/>
          </w:tcPr>
          <w:p>
            <w:r>
              <w:rPr>
                <w:b/>
                <w:bCs/>
                <w:color w:val="28201C"/>
                <w:sz w:val="21"/>
                <w:szCs w:val="21"/>
              </w:rPr>
              <w:t xml:space="preserve">LW_PROVIDER</w:t>
            </w:r>
          </w:p>
        </w:tc>
        <w:tc>
          <w:tcPr>
            <w:tcBorders>
              <w:top w:val="single" w:color="7A5C3A" w:sz="4"/>
              <w:left w:val="none"/>
              <w:bottom w:val="single" w:color="7A5C3A" w:sz="2"/>
              <w:right w:val="none"/>
            </w:tcBorders>
            <w:shd w:fill="FBF9F7" w:val="clear"/>
          </w:tcPr>
          <w:p>
            <w:r>
              <w:rPr>
                <w:b/>
                <w:bCs/>
                <w:color w:val="28201C"/>
                <w:sz w:val="21"/>
                <w:szCs w:val="21"/>
              </w:rPr>
              <w:t xml:space="preserve">Purpose</w:t>
            </w:r>
          </w:p>
        </w:tc>
      </w:tr>
      <w:tr>
        <w:trPr>
          <w:cantSplit/>
        </w:trPr>
        <w:tc>
          <w:tcPr>
            <w:tcBorders>
              <w:top w:val="none"/>
              <w:left w:val="none"/>
              <w:bottom w:val="single" w:color="E0E0E0" w:sz="1"/>
              <w:right w:val="none"/>
            </w:tcBorders>
            <w:shd w:fill="FBF9F7" w:val="clear"/>
          </w:tcPr>
          <w:p>
            <w:r>
              <w:rPr>
                <w:color w:val="36302C"/>
                <w:sz w:val="21"/>
                <w:szCs w:val="21"/>
              </w:rPr>
              <w:t xml:space="preserve">Development</w:t>
            </w:r>
          </w:p>
        </w:tc>
        <w:tc>
          <w:tcPr>
            <w:tcBorders>
              <w:top w:val="none"/>
              <w:left w:val="none"/>
              <w:bottom w:val="single" w:color="E0E0E0" w:sz="1"/>
              <w:right w:val="none"/>
            </w:tcBorders>
            <w:shd w:fill="FBF9F7" w:val="clear"/>
          </w:tcPr>
          <w:p>
            <w:r>
              <w:rPr>
                <w:color w:val="36302C"/>
                <w:sz w:val="21"/>
                <w:szCs w:val="21"/>
              </w:rPr>
              <w:t xml:space="preserve">mock</w:t>
            </w:r>
          </w:p>
        </w:tc>
        <w:tc>
          <w:tcPr>
            <w:tcBorders>
              <w:top w:val="none"/>
              <w:left w:val="none"/>
              <w:bottom w:val="single" w:color="E0E0E0" w:sz="1"/>
              <w:right w:val="none"/>
            </w:tcBorders>
            <w:shd w:fill="FBF9F7" w:val="clear"/>
          </w:tcPr>
          <w:p>
            <w:r>
              <w:rPr>
                <w:color w:val="36302C"/>
                <w:sz w:val="21"/>
                <w:szCs w:val="21"/>
              </w:rPr>
              <w:t xml:space="preserve">mock</w:t>
            </w:r>
          </w:p>
        </w:tc>
        <w:tc>
          <w:tcPr>
            <w:tcBorders>
              <w:top w:val="none"/>
              <w:left w:val="none"/>
              <w:bottom w:val="single" w:color="E0E0E0" w:sz="1"/>
              <w:right w:val="none"/>
            </w:tcBorders>
            <w:shd w:fill="FBF9F7" w:val="clear"/>
          </w:tcPr>
          <w:p>
            <w:r>
              <w:rPr>
                <w:color w:val="36302C"/>
                <w:sz w:val="21"/>
                <w:szCs w:val="21"/>
              </w:rPr>
              <w:t xml:space="preserve">Local testing, no external deps</w:t>
            </w:r>
          </w:p>
        </w:tc>
      </w:tr>
      <w:tr>
        <w:trPr>
          <w:cantSplit/>
        </w:trPr>
        <w:tc>
          <w:tcPr>
            <w:tcBorders>
              <w:top w:val="none"/>
              <w:left w:val="none"/>
              <w:bottom w:val="single" w:color="E0E0E0" w:sz="1"/>
              <w:right w:val="none"/>
            </w:tcBorders>
          </w:tcPr>
          <w:p>
            <w:r>
              <w:rPr>
                <w:color w:val="36302C"/>
                <w:sz w:val="21"/>
                <w:szCs w:val="21"/>
              </w:rPr>
              <w:t xml:space="preserve">Staging</w:t>
            </w:r>
          </w:p>
        </w:tc>
        <w:tc>
          <w:tcPr>
            <w:tcBorders>
              <w:top w:val="none"/>
              <w:left w:val="none"/>
              <w:bottom w:val="single" w:color="E0E0E0" w:sz="1"/>
              <w:right w:val="none"/>
            </w:tcBorders>
          </w:tcPr>
          <w:p>
            <w:r>
              <w:rPr>
                <w:color w:val="36302C"/>
                <w:sz w:val="21"/>
                <w:szCs w:val="21"/>
              </w:rPr>
              <w:t xml:space="preserve">softline</w:t>
            </w:r>
          </w:p>
        </w:tc>
        <w:tc>
          <w:tcPr>
            <w:tcBorders>
              <w:top w:val="none"/>
              <w:left w:val="none"/>
              <w:bottom w:val="single" w:color="E0E0E0" w:sz="1"/>
              <w:right w:val="none"/>
            </w:tcBorders>
          </w:tcPr>
          <w:p>
            <w:r>
              <w:rPr>
                <w:color w:val="36302C"/>
                <w:sz w:val="21"/>
                <w:szCs w:val="21"/>
              </w:rPr>
              <w:t xml:space="preserve">mock</w:t>
            </w:r>
          </w:p>
        </w:tc>
        <w:tc>
          <w:tcPr>
            <w:tcBorders>
              <w:top w:val="none"/>
              <w:left w:val="none"/>
              <w:bottom w:val="single" w:color="E0E0E0" w:sz="1"/>
              <w:right w:val="none"/>
            </w:tcBorders>
          </w:tcPr>
          <w:p>
            <w:r>
              <w:rPr>
                <w:color w:val="36302C"/>
                <w:sz w:val="21"/>
                <w:szCs w:val="21"/>
              </w:rPr>
              <w:t xml:space="preserve">SMS testing, LW mocked</w:t>
            </w:r>
          </w:p>
        </w:tc>
      </w:tr>
      <w:tr>
        <w:trPr>
          <w:cantSplit/>
        </w:trPr>
        <w:tc>
          <w:tcPr>
            <w:tcBorders>
              <w:top w:val="none"/>
              <w:left w:val="none"/>
              <w:bottom w:val="single" w:color="E0E0E0" w:sz="1"/>
              <w:right w:val="none"/>
            </w:tcBorders>
            <w:shd w:fill="FBF9F7" w:val="clear"/>
          </w:tcPr>
          <w:p>
            <w:r>
              <w:rPr>
                <w:color w:val="36302C"/>
                <w:sz w:val="21"/>
                <w:szCs w:val="21"/>
              </w:rPr>
              <w:t xml:space="preserve">Production</w:t>
            </w:r>
          </w:p>
        </w:tc>
        <w:tc>
          <w:tcPr>
            <w:tcBorders>
              <w:top w:val="none"/>
              <w:left w:val="none"/>
              <w:bottom w:val="single" w:color="E0E0E0" w:sz="1"/>
              <w:right w:val="none"/>
            </w:tcBorders>
            <w:shd w:fill="FBF9F7" w:val="clear"/>
          </w:tcPr>
          <w:p>
            <w:r>
              <w:rPr>
                <w:color w:val="36302C"/>
                <w:sz w:val="21"/>
                <w:szCs w:val="21"/>
              </w:rPr>
              <w:t xml:space="preserve">softline</w:t>
            </w:r>
          </w:p>
        </w:tc>
        <w:tc>
          <w:tcPr>
            <w:tcBorders>
              <w:top w:val="none"/>
              <w:left w:val="none"/>
              <w:bottom w:val="single" w:color="E0E0E0" w:sz="1"/>
              <w:right w:val="none"/>
            </w:tcBorders>
            <w:shd w:fill="FBF9F7" w:val="clear"/>
          </w:tcPr>
          <w:p>
            <w:r>
              <w:rPr>
                <w:color w:val="36302C"/>
                <w:sz w:val="21"/>
                <w:szCs w:val="21"/>
              </w:rPr>
              <w:t xml:space="preserve">real</w:t>
            </w:r>
          </w:p>
        </w:tc>
        <w:tc>
          <w:tcPr>
            <w:tcBorders>
              <w:top w:val="none"/>
              <w:left w:val="none"/>
              <w:bottom w:val="single" w:color="E0E0E0" w:sz="1"/>
              <w:right w:val="none"/>
            </w:tcBorders>
            <w:shd w:fill="FBF9F7" w:val="clear"/>
          </w:tcPr>
          <w:p>
            <w:r>
              <w:rPr>
                <w:color w:val="36302C"/>
                <w:sz w:val="21"/>
                <w:szCs w:val="21"/>
              </w:rPr>
              <w:t xml:space="preserve">Full external service integration</w:t>
            </w:r>
          </w:p>
        </w:tc>
      </w:tr>
    </w:tbl>
    <w:p>
      <w:pPr>
        <w:spacing w:after="80" w:line="312"/>
        <w:jc w:val="both"/>
      </w:pPr>
      <w:r>
        <w:rPr>
          <w:color w:val="36302C"/>
          <w:sz w:val="24"/>
          <w:szCs w:val="24"/>
        </w:rPr>
        <w:t xml:space="preserve">The environment-based configuration allows seamless switching between mock and real providers. In development mode, all external calls return predefined mock data, enabling offline development. In staging, the real SMS gateway is tested while LW services remain mocked. Production mode activates all real integrations through the LW Provider.</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36302C"/>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2026-07-10T07:59:24.018Z</dcterms:created>
  <dcterms:modified xsi:type="dcterms:W3CDTF">2026-07-10T07:59:24.018Z</dcterms:modified>
</cp:coreProperties>
</file>

<file path=docProps/custom.xml><?xml version="1.0" encoding="utf-8"?>
<Properties xmlns="http://schemas.openxmlformats.org/officeDocument/2006/custom-properties" xmlns:vt="http://schemas.openxmlformats.org/officeDocument/2006/docPropsVTypes"/>
</file>