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CAMALOV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6"/>
                <w:szCs w:val="16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IT Business Analyst with 3+ years of experience in E-Commerce and Fintech, skilled in stakeholder discovery, BRD/FRD authoring, BPMN process modeling, REST API documentation (Swagger), SQL analytics, and end-to-end delivery coordination through UAT sign-off. Software engineering background enables precise technical translation of business requirements and efficient collaboration with development teams.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(Credit Bureau &amp; Financial Data Integration, Process Modeling)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(External Loan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(Loan Portfolio Monitoring, Digital E-Signature, SMS Notifications)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Partner Onboarding &amp; Loan Application Management  </w:t>
      </w:r>
      <w:r>
        <w:rPr>
          <w:rFonts w:ascii="Calibri" w:eastAsia="Microsoft YaHei"/>
          <w:color w:val="777777"/>
          <w:sz w:val="16"/>
          <w:szCs w:val="16"/>
        </w:rPr>
        <w:t xml:space="preserve">(Requirements Documentation, REST API Design)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Conducted structured discovery sessions with risk, sales, and operations stakeholders to map As-Is workflows, design To-Be BPMN process models, and align on scope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Authored detailed FRDs with numbered requirements (REQ-101 format) and designed REST API specifications using Swagger/OpenAPI 3.0 for seamless handoff to development teams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Wrote User Stories with Gherkin Acceptance Criteria, coordinated UAT execution, and led bug triage meetings — achieving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2026-04-24T17:11:55.513Z</dcterms:created>
  <dcterms:modified xsi:type="dcterms:W3CDTF">2026-04-24T17:11:55.513Z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