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0" w:line="276"/>
        <w:jc w:val="left"/>
      </w:pPr>
      <w:r>
        <w:rPr>
          <w:rFonts w:ascii="Calibri" w:eastAsia="Microsoft YaHei"/>
          <w:b/>
          <w:bCs/>
          <w:color w:val="1A1A1A"/>
          <w:spacing w:val="120"/>
          <w:sz w:val="36"/>
          <w:szCs w:val="36"/>
        </w:rPr>
        <w:t xml:space="preserve">ZAMIR CAMALOV</w:t>
      </w:r>
    </w:p>
    <w:p>
      <w:pPr>
        <w:spacing w:after="60" w:before="0" w:line="276"/>
      </w:pPr>
      <w:r>
        <w:rPr>
          <w:rFonts w:ascii="Calibri" w:eastAsia="Microsoft YaHei"/>
          <w:color w:val="2A6496"/>
          <w:sz w:val="22"/>
          <w:szCs w:val="22"/>
        </w:rPr>
        <w:t xml:space="preserve">IT Business Analyst  |  E-Commerce &amp; Fintech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506"/>
      </w:tblGrid>
      <w:tr>
        <w:trPr>
          <w:trHeight w:val="280" w:hRule="atLeas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CCCCCC" w:sz="2"/>
              <w:right w:val="none" w:color="FFFFFF" w:sz="0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eastAsia="Microsoft YaHei"/>
                <w:color w:val="777777"/>
                <w:sz w:val="17"/>
                <w:szCs w:val="17"/>
              </w:rPr>
              <w:t xml:space="preserve">+994 55 207 7228</w:t>
            </w:r>
            <w:r>
              <w:rPr>
                <w:rFonts w:ascii="Calibri" w:eastAsia="Microsoft YaHei"/>
                <w:color w:val="CCCCCC"/>
                <w:sz w:val="17"/>
                <w:szCs w:val="17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7"/>
                <w:szCs w:val="17"/>
              </w:rPr>
              <w:t xml:space="preserve">jamalov.zamir@gmail.com</w:t>
            </w:r>
            <w:r>
              <w:rPr>
                <w:rFonts w:ascii="Calibri" w:eastAsia="Microsoft YaHei"/>
                <w:color w:val="CCCCCC"/>
                <w:sz w:val="17"/>
                <w:szCs w:val="17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7"/>
                <w:szCs w:val="17"/>
              </w:rPr>
              <w:t xml:space="preserve">Baku, Azerbaijan</w:t>
            </w:r>
            <w:r>
              <w:rPr>
                <w:rFonts w:ascii="Calibri" w:eastAsia="Microsoft YaHei"/>
                <w:color w:val="CCCCCC"/>
                <w:sz w:val="17"/>
                <w:szCs w:val="17"/>
              </w:rPr>
              <w:t xml:space="preserve">   |   </w:t>
            </w:r>
            <w:r>
              <w:rPr>
                <w:rFonts w:ascii="Calibri" w:eastAsia="Microsoft YaHei"/>
                <w:color w:val="2A6496"/>
                <w:sz w:val="17"/>
                <w:szCs w:val="17"/>
                <w:u w:val="single" w:color="2A6496"/>
              </w:rPr>
              <w:t xml:space="preserve">github.com/ZamirJamalov/ba-practice</w:t>
            </w:r>
          </w:p>
        </w:tc>
      </w:tr>
    </w:tbl>
    <w:p>
      <w:pPr>
        <w:spacing w:after="0" w:before="1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506"/>
      </w:tblGrid>
      <w:tr>
        <w:trPr>
          <w:trHeight w:val="35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40" w:before="8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20"/>
                <w:szCs w:val="20"/>
              </w:rPr>
              <w:t xml:space="preserve">PROFILE SUMMARY</w:t>
            </w:r>
          </w:p>
        </w:tc>
      </w:tr>
    </w:tbl>
    <w:p>
      <w:pPr>
        <w:spacing w:after="0" w:before="60"/>
      </w:pPr>
    </w:p>
    <w:p>
      <w:pPr>
        <w:spacing w:after="20" w:before="20" w:line="276"/>
        <w:jc w:val="both"/>
      </w:pPr>
      <w:r>
        <w:rPr>
          <w:rFonts w:ascii="Calibri" w:eastAsia="Microsoft YaHei"/>
          <w:color w:val="333333"/>
          <w:sz w:val="19"/>
          <w:szCs w:val="19"/>
        </w:rPr>
        <w:t xml:space="preserve">IT Business Analyst with 3+ years of focused experience in E-Commerce (Marketplace) and Fintech (B2B integrations). Proven ability to discover business needs through stakeholder interviews, translate them into precise BRD/FRD specifications with User Stories and Acceptance Criteria, and coordinate end-to-end delivery from requirements gathering through UAT sign-off. Skilled in BPMN process modeling (As-Is / To-Be), REST API documentation (Swagger), and data-driven decision making via SQL analytics. Background in software engineering enables fluent communication with development teams and accurate technical translation of business requirements.</w:t>
      </w:r>
    </w:p>
    <w:p>
      <w:pPr>
        <w:spacing w:after="0" w:before="1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506"/>
      </w:tblGrid>
      <w:tr>
        <w:trPr>
          <w:trHeight w:val="35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40" w:before="8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20"/>
                <w:szCs w:val="20"/>
              </w:rPr>
              <w:t xml:space="preserve">CORE SKILLS</w:t>
            </w:r>
          </w:p>
        </w:tc>
      </w:tr>
    </w:tbl>
    <w:p>
      <w:pPr>
        <w:spacing w:after="0" w:before="60"/>
      </w:pPr>
    </w:p>
    <w:p>
      <w:pPr>
        <w:spacing w:after="40" w:before="40" w:line="276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Business Analysis</w:t>
      </w:r>
      <w:r>
        <w:rPr>
          <w:rFonts w:ascii="Calibri" w:eastAsia="Microsoft YaHei"/>
          <w:sz w:val="19"/>
          <w:szCs w:val="19"/>
        </w:rPr>
        <w:t xml:space="preserve">   </w:t>
      </w:r>
      <w:r>
        <w:rPr>
          <w:rFonts w:ascii="Calibri" w:eastAsia="Microsoft YaHei"/>
          <w:color w:val="333333"/>
          <w:sz w:val="19"/>
          <w:szCs w:val="19"/>
        </w:rPr>
        <w:t xml:space="preserve">BRD / FRD / SRS  |  User Stories &amp; Acceptance Criteria (Gherkin)  |  BPMN (As-Is / To-Be)  |  Gap Analysis  |  Stakeholder Interviews  |  Backlog Prioritization (WSJF / RICE)</w:t>
      </w:r>
    </w:p>
    <w:p>
      <w:pPr>
        <w:spacing w:after="40" w:before="40" w:line="276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Technical</w:t>
      </w:r>
      <w:r>
        <w:rPr>
          <w:rFonts w:ascii="Calibri" w:eastAsia="Microsoft YaHei"/>
          <w:sz w:val="19"/>
          <w:szCs w:val="19"/>
        </w:rPr>
        <w:t xml:space="preserve">   </w:t>
      </w:r>
      <w:r>
        <w:rPr>
          <w:rFonts w:ascii="Calibri" w:eastAsia="Microsoft YaHei"/>
          <w:color w:val="333333"/>
          <w:sz w:val="19"/>
          <w:szCs w:val="19"/>
        </w:rPr>
        <w:t xml:space="preserve">REST API &amp; JSON  |  Swagger / OpenAPI 3.0  |  Postman (API Testing)  |  SQL (JOIN, GROUP BY, Subqueries)  |  SDLC</w:t>
      </w:r>
    </w:p>
    <w:p>
      <w:pPr>
        <w:spacing w:after="40" w:before="40" w:line="276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Process &amp; Tools</w:t>
      </w:r>
      <w:r>
        <w:rPr>
          <w:rFonts w:ascii="Calibri" w:eastAsia="Microsoft YaHei"/>
          <w:sz w:val="19"/>
          <w:szCs w:val="19"/>
        </w:rPr>
        <w:t xml:space="preserve">   </w:t>
      </w:r>
      <w:r>
        <w:rPr>
          <w:rFonts w:ascii="Calibri" w:eastAsia="Microsoft YaHei"/>
          <w:color w:val="333333"/>
          <w:sz w:val="19"/>
          <w:szCs w:val="19"/>
        </w:rPr>
        <w:t xml:space="preserve">Agile / Scrum  |  Jira  |  Confluence  |  UAT Planning &amp; Coordination  |  L2 Production Support (ELK Stack)</w:t>
      </w:r>
    </w:p>
    <w:p>
      <w:pPr>
        <w:spacing w:after="40" w:before="40" w:line="276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Languages</w:t>
      </w:r>
      <w:r>
        <w:rPr>
          <w:rFonts w:ascii="Calibri" w:eastAsia="Microsoft YaHei"/>
          <w:sz w:val="19"/>
          <w:szCs w:val="19"/>
        </w:rPr>
        <w:t xml:space="preserve">   </w:t>
      </w:r>
      <w:r>
        <w:rPr>
          <w:rFonts w:ascii="Calibri" w:eastAsia="Microsoft YaHei"/>
          <w:color w:val="333333"/>
          <w:sz w:val="19"/>
          <w:szCs w:val="19"/>
        </w:rPr>
        <w:t xml:space="preserve">Azerbaijani (Native)  |  Russian (Fluent)  |  English (Professional / Technical Documentation)</w:t>
      </w:r>
    </w:p>
    <w:p>
      <w:pPr>
        <w:spacing w:after="0" w:before="1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506"/>
      </w:tblGrid>
      <w:tr>
        <w:trPr>
          <w:trHeight w:val="35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40" w:before="8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20"/>
                <w:szCs w:val="20"/>
              </w:rPr>
              <w:t xml:space="preserve">PROFESSIONAL EXPERIENCE</w:t>
            </w:r>
          </w:p>
        </w:tc>
      </w:tr>
    </w:tbl>
    <w:p>
      <w:pPr>
        <w:spacing w:after="0" w:before="60"/>
      </w:pPr>
    </w:p>
    <w:p>
      <w:pPr>
        <w:tabs>
          <w:tab w:val="right" w:pos="9506"/>
        </w:tabs>
        <w:spacing w:after="20" w:before="140" w:line="276"/>
      </w:pPr>
      <w:r>
        <w:rPr>
          <w:rFonts w:ascii="Calibri" w:eastAsia="Microsoft YaHei"/>
          <w:b/>
          <w:bCs/>
          <w:color w:val="1A1A1A"/>
          <w:sz w:val="21"/>
          <w:szCs w:val="21"/>
        </w:rPr>
        <w:t xml:space="preserve">Embafinans</w:t>
      </w:r>
      <w:r>
        <w:rPr>
          <w:rFonts w:ascii="Calibri" w:eastAsia="Microsoft YaHei"/>
          <w:color w:val="777777"/>
          <w:sz w:val="19"/>
          <w:szCs w:val="19"/>
        </w:rPr>
        <w:t xml:space="preserve">  |  </w:t>
      </w:r>
      <w:r>
        <w:rPr>
          <w:rFonts w:ascii="Calibri" w:eastAsia="Microsoft YaHei"/>
          <w:i/>
          <w:iCs/>
          <w:color w:val="333333"/>
          <w:sz w:val="19"/>
          <w:szCs w:val="19"/>
        </w:rPr>
        <w:t xml:space="preserve">IT 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7"/>
          <w:szCs w:val="17"/>
        </w:rPr>
        <w:t xml:space="preserve">2025 – Present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Conducted structured discovery sessions with credit risk experts and finance teams to map the As-Is BNPL credit scoring workflow, identified 3 bottleneck stages, and designed To-Be BPMN process models with exclusive gateways — reducing credit decision time by 50%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Authored detailed FRDs with numbered requirements (REQ-101 format) and designed REST API specifications with Swagger/OpenAPI 3.0 documentation for 8+ endpoints covering partner onboarding, application management, and payment processing — ensuring zero-ambiguity handoff to the development team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Wrote User Stories with Given/When/Then Acceptance Criteria in Jira/Confluence, coordinated UAT execution with business stakeholders, and led bug triage meetings with QA and developers — achieving on-time sign-off for 3 release cycles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Resolved conflicting priorities between Risk and Sales departments by presenting SQL-based data analysis (conversion funnel metrics) to both stakeholders, facilitating agreement on a unified partner onboarding workflow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Managed PayTabs and payment provider integrations by creating REST API specifications, building Postman test collections for end-to-end validation, and coordinating cross-team testing with QA and vendor technical leads</w:t>
      </w:r>
    </w:p>
    <w:p>
      <w:pPr>
        <w:tabs>
          <w:tab w:val="right" w:pos="9506"/>
        </w:tabs>
        <w:spacing w:after="20" w:before="140" w:line="276"/>
      </w:pPr>
      <w:r>
        <w:rPr>
          <w:rFonts w:ascii="Calibri" w:eastAsia="Microsoft YaHei"/>
          <w:b/>
          <w:bCs/>
          <w:color w:val="1A1A1A"/>
          <w:sz w:val="21"/>
          <w:szCs w:val="21"/>
        </w:rPr>
        <w:t xml:space="preserve">BirMarket (Umico)</w:t>
      </w:r>
      <w:r>
        <w:rPr>
          <w:rFonts w:ascii="Calibri" w:eastAsia="Microsoft YaHei"/>
          <w:color w:val="777777"/>
          <w:sz w:val="19"/>
          <w:szCs w:val="19"/>
        </w:rPr>
        <w:t xml:space="preserve">  |  </w:t>
      </w:r>
      <w:r>
        <w:rPr>
          <w:rFonts w:ascii="Calibri" w:eastAsia="Microsoft YaHei"/>
          <w:i/>
          <w:iCs/>
          <w:color w:val="333333"/>
          <w:sz w:val="19"/>
          <w:szCs w:val="19"/>
        </w:rPr>
        <w:t xml:space="preserve">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7"/>
          <w:szCs w:val="17"/>
        </w:rPr>
        <w:t xml:space="preserve">2022 – 2025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Designed and documented the end-to-end seller onboarding process from scratch, conducting stakeholder interviews with operations, logistics, and warehouse teams to capture all edge cases and define measurable Acceptance Criteria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Analyzed seller performance and inventory data using SQL queries (complex JOINs, GROUP BY aggregations), identified fulfillment bottlenecks, and presented prioritized improvement recommendations to the product team with supporting data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Collaborated with marketing and product teams on CMS-driven content changes and promotional campaigns, ensuring business copy requirements were accurately documented and delivered within sprint cycles without scope creep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Provided L2 production support during critical marketplace incidents by analyzing ELK Stack system logs, identifying root causes at the code level, and coordinating rapid resolution with the development team</w:t>
      </w:r>
    </w:p>
    <w:p>
      <w:pPr>
        <w:spacing w:after="0" w:before="1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506"/>
      </w:tblGrid>
      <w:tr>
        <w:trPr>
          <w:trHeight w:val="35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40" w:before="8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20"/>
                <w:szCs w:val="20"/>
              </w:rPr>
              <w:t xml:space="preserve">TECHNICAL FOUNDATION</w:t>
            </w:r>
          </w:p>
        </w:tc>
      </w:tr>
    </w:tbl>
    <w:p>
      <w:pPr>
        <w:spacing w:after="0" w:before="60"/>
      </w:pPr>
    </w:p>
    <w:p>
      <w:pPr>
        <w:spacing w:after="20" w:before="20" w:line="276"/>
        <w:jc w:val="both"/>
      </w:pPr>
      <w:r>
        <w:rPr>
          <w:rFonts w:ascii="Calibri" w:eastAsia="Microsoft YaHei"/>
          <w:color w:val="333333"/>
          <w:sz w:val="19"/>
          <w:szCs w:val="19"/>
        </w:rPr>
        <w:t xml:space="preserve">15+ years in software engineering (Central Bank of Azerbaijan, Unibank, ASAN Service) covering backend development (C#, T-SQL), database architecture (Oracle, MSSQL, PostgreSQL), and system integration. This technical background enables precise requirement-to-code translation, efficient developer communication, and rapid root cause analysis during production incidents.</w:t>
      </w:r>
    </w:p>
    <w:p>
      <w:pPr>
        <w:spacing w:after="0" w:before="1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506"/>
      </w:tblGrid>
      <w:tr>
        <w:trPr>
          <w:trHeight w:val="35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40" w:before="8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20"/>
                <w:szCs w:val="20"/>
              </w:rPr>
              <w:t xml:space="preserve">EDUCATION</w:t>
            </w:r>
          </w:p>
        </w:tc>
      </w:tr>
    </w:tbl>
    <w:p>
      <w:pPr>
        <w:spacing w:after="0" w:before="60"/>
      </w:pPr>
    </w:p>
    <w:p>
      <w:pPr>
        <w:spacing w:after="20" w:before="20" w:line="276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Baku State University</w:t>
      </w:r>
      <w:r>
        <w:rPr>
          <w:rFonts w:ascii="Calibri" w:eastAsia="Microsoft YaHei"/>
          <w:color w:val="777777"/>
          <w:sz w:val="19"/>
          <w:szCs w:val="19"/>
        </w:rPr>
        <w:t xml:space="preserve">  —  </w:t>
      </w:r>
      <w:r>
        <w:rPr>
          <w:rFonts w:ascii="Calibri" w:eastAsia="Microsoft YaHei"/>
          <w:color w:val="333333"/>
          <w:sz w:val="19"/>
          <w:szCs w:val="19"/>
        </w:rPr>
        <w:t xml:space="preserve">Bachelor of Science in Applied Mathematics</w:t>
      </w:r>
    </w:p>
    <w:sectPr>
      <w:pgSz w:w="11906" w:h="16838" w:orient="portrait"/>
      <w:pgMar w:top="700" w:right="1200" w:bottom="6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333333"/>
        <w:sz w:val="19"/>
        <w:szCs w:val="19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2026-04-24T16:10:46.514Z</dcterms:created>
  <dcterms:modified xsi:type="dcterms:W3CDTF">2026-04-24T16:10:46.514Z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