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p>
      <w:r>
        <w:t>Q40  You created a Phase 1 Decision Rules document for me. Can you create the same type of document for Phase 2? I want the same format: decision rules for each technical document, a timeline, and a quick memory checklist. This will help me remember the key rules when I create SRS, FRD, System Design, API specifications, Postman tests, RICE backlog, SDLC, and UAT.</w:t>
      </w:r>
    </w:p>
    <w:p>
      <w:r>
        <w:t>Absolutely. I created the BA Phase 2 Decision Rules Quick Reference document for you. It follows the exact same format as the Phase 1 version, but covers all technical documents.</w:t>
      </w:r>
    </w:p>
    <w:p>
      <w:r>
        <w:t>Here is what the document contains. It has 20 decision rules organized into 9 sections, matching each Phase 2 document.</w:t>
      </w:r>
    </w:p>
    <w:p>
      <w:r>
        <w:t>Section A covers SRS Writing Rules with 3 rules. Rule 1 is about SRS granularity: the developer must know what to build but still decide how. Not too vague, not too detailed. Rule 2 is about non-functional requirements: cover at least 5 categories including performance, security, usability, reliability, and compatibility. Rule 3 is about traceability: every system requirement maps back to a BRD requirement, no orphans allowed.</w:t>
      </w:r>
    </w:p>
    <w:p>
      <w:r>
        <w:t>Section B covers FRD Writing Rules with 3 rules. Rule 4 is about scenario structure: every functional requirement gets a happy path, a main error, and an edge case. Rule 5 is about business logic depth: write every formula, every validation rule, every conditional branch. The developer does not know your business rules. Rule 6 is about error handling: at least 2-3 error cases per requirement, including the error message, HTTP status code, and data behavior.</w:t>
      </w:r>
    </w:p>
    <w:p>
      <w:r>
        <w:t>Section C covers System Design Rules with 2 rules. Rule 7 is about the BA role: facilitate and document, do not make architecture decisions. You ask the questions, the developer answers, you write it down. Rule 8 is about design decision documentation: every decision needs four elements, what, why, who, and what requirement. No undocumented decisions.</w:t>
      </w:r>
    </w:p>
    <w:p>
      <w:r>
        <w:t>Section D covers REST API Specification Rules with 2 rules. Rule 9 is about endpoint identification: walk through every user story, each data need becomes a GET, each user action becomes a POST, PUT, or DELETE. Rule 10 is about JSON consistency: camelCase fields, plural resources, UUID IDs, ISO 8601 dates.</w:t>
      </w:r>
    </w:p>
    <w:p>
      <w:r>
        <w:t>Section E covers Swagger and OpenAPI Rules with 2 rules. Rule 11 is about standards: use OpenAPI 3.0 or later, include info, servers, paths, and components sections. Rule 12 is about API versioning: version in the URL path, not in headers, keep old versions running for 6 months.</w:t>
      </w:r>
    </w:p>
    <w:p>
      <w:r>
        <w:t>Section F covers Postman API Testing Rules with 2 rules. Rule 13 is about test coverage: at least 5 tests per endpoint, one valid, two invalid inputs, one auth failure, one edge case. Rule 14 is about environments: set up Local, Staging, and Production environments with setup requests for test data.</w:t>
      </w:r>
    </w:p>
    <w:p>
      <w:r>
        <w:t>Section G covers RICE Backlog Rules with 2 rules. Rule 15 is about estimation approach: BA estimates Reach and Impact, developer estimates Effort, Confidence is a joint discussion. Rule 16 is about sprint allocation: fill sprints to 80 percent capacity, reserve 20 percent for bugs and unplanned work.</w:t>
      </w:r>
    </w:p>
    <w:p>
      <w:r>
        <w:t>Section H covers SDLC Rules with 2 rules. Rule 17 is about ceremonies: 2-week sprints, Planning Monday morning, Daily Standup 15 minutes max, Review and Retro on sprint end Friday. Rule 18 is about tools: use company tools, set up traceability in Jira linking stories to requirements and test cases.</w:t>
      </w:r>
    </w:p>
    <w:p>
      <w:r>
        <w:t>Section I covers UAT Planning Rules with 2 rules. Rule 19 is about tester selection: invite the same stakeholders from Phase 1 interviews, at least one tester per user group. Rule 20 is about pass/fail criteria: all Critical and High defects fixed, 90 percent of scenarios pass, all user groups signed off.</w:t>
      </w:r>
    </w:p>
    <w:p>
      <w:r>
        <w:t>After the 20 rules, the document has two more sections. Part J is the Phase 2 Timeline, a table showing what happens each week from Week 1 to Week 5. Part K is the Quick Memory Checklist with 20 items, one for each rule, written as short reminders you can scan before an interview.</w:t>
      </w:r>
    </w:p>
    <w:p>
      <w:r>
        <w:t>The file is saved as BA_Phase_2_Decision_Rules_Quick_Reference.docx in your portfolio. Together with the Phase 1 Decision Rules, you now have a complete decision-making framework covering all 30 documents across both phases.</w:t>
      </w:r>
    </w:p>
    <w:p>
      <w:r>
        <w:t>Q41  I have a question about Jira tasks. When I create tasks in Jira, should the task names be the same as the names in the documents? For example, a developer gets a task to create a database table or a Java class. How should Jira tasks be created? What should the task title be, what should the description contain? Is there a standard way to create Jira tasks?</w:t>
      </w:r>
    </w:p>
    <w:p>
      <w:r>
        <w:t>This is a very practical question. Every BA works with Jira, and every BA struggles with this at first. Let me explain the complete approach to creating Jira tasks.</w:t>
      </w:r>
    </w:p>
    <w:p>
      <w:r>
        <w:t>First, let me answer your main question: should the Jira task name be the same as the document name? The answer is no. They serve different purposes. The document name describes the business requirement. The Jira task name describes the work the developer needs to do. These are different things.</w:t>
      </w:r>
    </w:p>
    <w:p>
      <w:r>
        <w:t>Let me give you an example to make this clear. In the BRD, you have BR-001: "Online Return Request Submission." In the User Stories, you have US-001: "As a registered customer, I want to submit a return request through the website." Now, in Jira, the Epic is called "Return Management System." The Story in Jira has the title: "Implement return request submission form." Inside that story, there are sub-tasks. One sub-task says: "Create database table for return requests." Another sub-task says: "Build REST API endpoint POST /api/v1/returns." Another says: "Design return request form UI component." Notice the difference. The BRD talks about business needs. The Jira tasks talk about technical work.</w:t>
      </w:r>
    </w:p>
    <w:p>
      <w:r>
        <w:t>Now, let me explain how to create Jira tasks properly. There are four levels in Jira that you need to understand.</w:t>
      </w:r>
    </w:p>
    <w:p>
      <w:r>
        <w:t>Level 1: Epic. The Epic is the big container. It represents the entire project or a major feature. For the Return Management System, the Epic name is simply "Return Management System - Phase 1." The Epic has a description that summarizes the project scope, taken from the BRD executive summary.</w:t>
      </w:r>
    </w:p>
    <w:p>
      <w:r>
        <w:t>Level 2: Story. Each User Story from your User Stories document becomes a Jira Story. The Story title is not the User Story text. The Story title is a short, actionable summary. The full User Story text goes into the Story description. So the title is: "Implement return request submission." The description contains the full User Story: "As a registered customer, I want to submit a return request through the website, so that I do not need to visit the store physically." Below the User Story, you also paste the Acceptance Criteria from the AC document.</w:t>
      </w:r>
    </w:p>
    <w:p>
      <w:r>
        <w:t>Level 3: Sub-task. This is where the BA breaks down the Story into technical tasks. The developer does not decide what sub-tasks to create. The BA creates the sub-tasks based on the FRD and the System Design. This is important. The BA reads the FRD and the System Design, and from that information, creates specific tasks. For example, sub-task 1: "Create database table: returns (columns: return_id, order_id, customer_id, status, created_at, updated_at)." Sub-task 2: "Implement REST API POST /api/v1/returns (see FRD FR-001, OpenAPI spec)." Sub-task 3: "Build frontend form: return request page with product selection, reason dropdown, photo upload." Sub-task 4: "Implement email notification on successful return submission." Each sub-task references the specific document section that the developer needs to read.</w:t>
      </w:r>
    </w:p>
    <w:p>
      <w:r>
        <w:t>Level 4: Bug. Bugs are created during testing. They are not planned tasks. They get their own issue type. The bug title describes the problem, not the fix. For example: "Return request form crashes when photo exceeds 5 MB" is a good bug title. "Fix photo upload validation" is a bad bug title because it assumes the fix.</w:t>
      </w:r>
    </w:p>
    <w:p>
      <w:r>
        <w:t>Now, there is a standard format for writing Jira task descriptions. Every Jira task, whether it is a Story or a sub-task, should contain five elements.</w:t>
      </w:r>
    </w:p>
    <w:p>
      <w:r>
        <w:t>Element 1: Title. Short and specific. The developer should read the title and immediately know what this task is about. Bad title: "Work on returns." Good title: "Create returns database table with columns for order, customer, items, and status."</w:t>
      </w:r>
    </w:p>
    <w:p>
      <w:r>
        <w:t>Element 2: Description. This is the most important part. The description tells the developer everything they need to know to do the work without calling you. It contains three sections. Context: one or two sentences explaining why this task exists. Reference: links to the FRD section, API spec, or design document that the developer needs to read. Acceptance Criteria: what does "done" look like for this specific task.</w:t>
      </w:r>
    </w:p>
    <w:p>
      <w:r>
        <w:t>Element 3: Reference Links. This is critical. Every Jira task must have links to the relevant documents. Link to the BRD requirement. Link to the FRD section. Link to the API endpoint in Swagger. Link to the test cases in Postman. If the developer has a question, they should be able to click a link and find the answer in the document, not send you a message.</w:t>
      </w:r>
    </w:p>
    <w:p>
      <w:r>
        <w:t>Element 4: Assignee. The BA assigns sub-tasks to the appropriate developer. The backend sub-tasks go to the backend developer. The frontend sub-tasks go to the frontend developer. If you are not sure who should do it, assign it to the lead developer and let them distribute.</w:t>
      </w:r>
    </w:p>
    <w:p>
      <w:r>
        <w:t>Element 5: Sprint and Story Points. The BA does not estimate story points alone. Story points are estimated during Sprint Planning by the development team. The BA presents the task, the team discusses it, and the team assigns the points. The BA only suggests the priority.</w:t>
      </w:r>
    </w:p>
    <w:p>
      <w:r>
        <w:t>Let me give you one complete example of how a Jira Story looks in practice.</w:t>
      </w:r>
    </w:p>
    <w:p>
      <w:r>
        <w:t>Title: "Implement return eligibility check functionality"</w:t>
        <w:br/>
        <w:t>Description:</w:t>
        <w:br/>
        <w:t>"Context: As part of the Return Management System, customers must be able to check if their order is eligible for return before submitting a return request. This is US-002 from the User Stories document.</w:t>
        <w:br/>
        <w:t>User Story: As a registered customer, I want the system to automatically check if my order is eligible for return, so that I know whether I can submit a return request.</w:t>
        <w:br/>
        <w:t>Acceptance Criteria:</w:t>
        <w:br/>
        <w:t>AC-006: System checks delivery date is within 14 days.</w:t>
        <w:br/>
        <w:t>AC-007: System checks item category is returnable.</w:t>
        <w:br/>
        <w:t>AC-008: System checks customer has not exceeded 3 returns per month.</w:t>
        <w:br/>
        <w:t>AC-009: System displays ineligible reason when any check fails.</w:t>
        <w:br/>
        <w:t>AC-010: System shows estimated refund amount when all checks pass.</w:t>
        <w:br/>
        <w:t>References:</w:t>
        <w:br/>
        <w:t>- FRD: FR-002 (Return Eligibility Check)</w:t>
        <w:br/>
        <w:t>- API Spec: GET /api/v1/returns/eligibility</w:t>
        <w:br/>
        <w:t>- BRD: BR-002 (Automated Eligibility Check)</w:t>
        <w:br/>
        <w:t>- Postman Tests: Collection 'Eligibility Check Tests'"</w:t>
        <w:br/>
        <w:t>Assignee: Tural (Backend Developer)</w:t>
        <w:br/>
        <w:t>Sprint: Sprint 1</w:t>
        <w:br/>
        <w:t>Story Points: 5 (estimated by team)</w:t>
      </w:r>
    </w:p>
    <w:p>
      <w:r>
        <w:t>And under this Story, the sub-tasks would be:</w:t>
        <w:br/>
        <w:t>1. "Create eligibility_rules database table" - assigned to backend</w:t>
        <w:br/>
        <w:t>2. "Implement eligibility check service class" - assigned to backend</w:t>
        <w:br/>
        <w:t>3. "Build eligibility check API endpoint" - assigned to backend</w:t>
        <w:br/>
        <w:t>4. "Create eligibility result display component" - assigned to frontend</w:t>
        <w:br/>
        <w:t>5. "Write unit tests for eligibility rules" - assigned to QA</w:t>
      </w:r>
    </w:p>
    <w:p>
      <w:r>
        <w:t>So to answer your question: Jira task names do not need to match document names. The Jira task name describes the technical work. But the Jira task description must reference the document sections. This is the connection. The document is the source of truth. The Jira task is the execution tool. They are connected through references, not through matching names.</w:t>
      </w:r>
    </w:p>
    <w:p>
      <w:r>
        <w:t>One last important point. Never create a Jira task that says "implement BR-001." This tells the developer nothing. The developer should not have to read the BRD to understand what to do. The Jira task description should contain everything the developer needs. The BRD link is there for additional context, not as the primary source of information for the task. The BA is the translator. You read the BRD, you understand it, and you write the Jira task in a way the developer can immediately start working.</w:t>
      </w:r>
    </w:p>
    <w:p>
      <w:pPr>
        <w:spacing w:before="480" w:after="240"/>
        <w:pBdr>
          <w:bottom w:val="single" w:sz="4" w:space="1" w:color="005A9C"/>
        </w:pBdr>
      </w:pPr>
    </w:p>
    <w:p>
      <w:pPr>
        <w:spacing w:after="240"/>
      </w:pPr>
      <w:r>
        <w:rPr>
          <w:rFonts w:ascii="Calibri" w:hAnsi="Calibri"/>
          <w:b/>
          <w:color w:val="005A9C"/>
          <w:sz w:val="26"/>
        </w:rPr>
        <w:t>Terms of Reference (ToR) and Service Design Document (SDD) - LMAS Project</w:t>
      </w:r>
    </w:p>
    <w:p>
      <w:pPr>
        <w:spacing w:before="360" w:after="80" w:line="280" w:lineRule="exact"/>
        <w:pBdr>
          <w:bottom w:val="single" w:sz="1" w:space="1" w:color="DDDDDD"/>
        </w:pBdr>
      </w:pPr>
      <w:r>
        <w:rPr>
          <w:rFonts w:ascii="Calibri" w:hAnsi="Calibri"/>
          <w:b/>
          <w:color w:val="1A1A1A"/>
          <w:sz w:val="22"/>
        </w:rPr>
        <w:t>Q42</w:t>
      </w:r>
      <w:r>
        <w:rPr>
          <w:rFonts w:ascii="Calibri" w:hAnsi="Calibri"/>
          <w:color w:val="1A1A1A"/>
          <w:sz w:val="22"/>
        </w:rPr>
        <w:t xml:space="preserve">  In a BA project, you already have a BRD that describes the business requirements and scope. Why do you need a separate Terms of Reference document? What does the ToR cover that the BRD does not?</w:t>
      </w:r>
    </w:p>
    <w:p>
      <w:pPr>
        <w:spacing w:after="120" w:line="280" w:lineRule="exact"/>
      </w:pPr>
      <w:r>
        <w:rPr>
          <w:rFonts w:ascii="Calibri" w:hAnsi="Calibri"/>
          <w:color w:val="2C2C2C"/>
          <w:sz w:val="22"/>
        </w:rPr>
        <w:t>This is a very practical question, and the answer explains a common confusion. The BRD and the ToR serve completely different purposes, and you need both.</w:t>
      </w:r>
    </w:p>
    <w:p>
      <w:pPr>
        <w:spacing w:after="120" w:line="280" w:lineRule="exact"/>
      </w:pPr>
      <w:r>
        <w:rPr>
          <w:rFonts w:ascii="Calibri" w:hAnsi="Calibri"/>
          <w:color w:val="2C2C2C"/>
          <w:sz w:val="22"/>
        </w:rPr>
        <w:t>The BRD answers the question: "What does the business need?" It describes the business goals, the stakeholder requirements, the functional and non-functional requirements, and the success criteria. The BRD is written from the business perspective. When you read a BRD, you understand what problem we are solving and what the expected outcome looks like.</w:t>
      </w:r>
    </w:p>
    <w:p>
      <w:pPr>
        <w:spacing w:after="120" w:line="280" w:lineRule="exact"/>
      </w:pPr>
      <w:r>
        <w:rPr>
          <w:rFonts w:ascii="Calibri" w:hAnsi="Calibri"/>
          <w:color w:val="2C2C2C"/>
          <w:sz w:val="22"/>
        </w:rPr>
        <w:t>The ToR answers a different question: "How will this project be organized and governed?" The ToR defines the project boundaries, who is responsible for what, what the timeline is, what the governance structure looks like, and what the constraints are. The ToR is written from the project management perspective.</w:t>
      </w:r>
    </w:p>
    <w:p>
      <w:pPr>
        <w:spacing w:after="120" w:line="280" w:lineRule="exact"/>
      </w:pPr>
      <w:r>
        <w:rPr>
          <w:rFonts w:ascii="Calibri" w:hAnsi="Calibri"/>
          <w:color w:val="2C2C2C"/>
          <w:sz w:val="22"/>
        </w:rPr>
        <w:t>Let me give you a concrete example. In the LMAS project for the State Employment Agency, the BRD says: "Citizens must be able to submit employment service applications through digital channels." This is a business requirement. The ToR says: "The BA Lead is responsible for writing the FRD by the end of Phase 2, and the Product Owner must approve it before development starts." This is a project governance rule.</w:t>
      </w:r>
    </w:p>
    <w:p>
      <w:pPr>
        <w:spacing w:after="120" w:line="280" w:lineRule="exact"/>
      </w:pPr>
      <w:r>
        <w:rPr>
          <w:rFonts w:ascii="Calibri" w:hAnsi="Calibri"/>
          <w:color w:val="2C2C2C"/>
          <w:sz w:val="22"/>
        </w:rPr>
        <w:t>Here is a simple way to think about it. The BRD defines the "what" and the "why." The ToR defines the "who, when and how." Without a BRD, the team does not know what to build. Without a ToR, the team does not know who decides what, when things are due, and how decisions are made.</w:t>
      </w:r>
    </w:p>
    <w:p>
      <w:pPr>
        <w:spacing w:after="120" w:line="280" w:lineRule="exact"/>
      </w:pPr>
      <w:r>
        <w:rPr>
          <w:rFonts w:ascii="Calibri" w:hAnsi="Calibri"/>
          <w:color w:val="2C2C2C"/>
          <w:sz w:val="22"/>
        </w:rPr>
        <w:t>In government projects like LMAS, the ToR is especially important because multiple government organizations are involved. The ToR makes it clear which agency provides data, who approves requirements, who signs off on deliverables and how disagreements are resolved. Without this clarity, a multi-agency project can easily get stuck.</w:t>
      </w:r>
    </w:p>
    <w:p>
      <w:pPr>
        <w:spacing w:before="360" w:after="80" w:line="280" w:lineRule="exact"/>
        <w:pBdr>
          <w:bottom w:val="single" w:sz="1" w:space="1" w:color="DDDDDD"/>
        </w:pBdr>
      </w:pPr>
      <w:r>
        <w:rPr>
          <w:rFonts w:ascii="Calibri" w:hAnsi="Calibri"/>
          <w:b/>
          <w:color w:val="1A1A1A"/>
          <w:sz w:val="22"/>
        </w:rPr>
        <w:t>Q43</w:t>
      </w:r>
      <w:r>
        <w:rPr>
          <w:rFonts w:ascii="Calibri" w:hAnsi="Calibri"/>
          <w:color w:val="1A1A1A"/>
          <w:sz w:val="22"/>
        </w:rPr>
        <w:t xml:space="preserve">  What is the correct structure of a Terms of Reference? What sections should it contain and in what order?</w:t>
      </w:r>
    </w:p>
    <w:p>
      <w:pPr>
        <w:spacing w:after="120" w:line="280" w:lineRule="exact"/>
      </w:pPr>
      <w:r>
        <w:rPr>
          <w:rFonts w:ascii="Calibri" w:hAnsi="Calibri"/>
          <w:color w:val="2C2C2C"/>
          <w:sz w:val="22"/>
        </w:rPr>
        <w:t>A ToR has a standard structure that most government and enterprise projects follow. In my LMAS ToR, I used ten main sections. Let me walk through each one.</w:t>
      </w:r>
    </w:p>
    <w:p>
      <w:pPr>
        <w:spacing w:after="120" w:line="280" w:lineRule="exact"/>
      </w:pPr>
      <w:r>
        <w:rPr>
          <w:rFonts w:ascii="Calibri" w:hAnsi="Calibri"/>
          <w:color w:val="2C2C2C"/>
          <w:sz w:val="22"/>
        </w:rPr>
        <w:t>Section 1 is Introduction. This includes the document purpose, the background of why the project exists, and definitions of abbreviations. The introduction sets the context for everyone who reads the document. It answers: why are we doing this project?</w:t>
      </w:r>
    </w:p>
    <w:p>
      <w:pPr>
        <w:spacing w:after="120" w:line="280" w:lineRule="exact"/>
      </w:pPr>
      <w:r>
        <w:rPr>
          <w:rFonts w:ascii="Calibri" w:hAnsi="Calibri"/>
          <w:color w:val="2C2C2C"/>
          <w:sz w:val="22"/>
        </w:rPr>
        <w:t>Section 2 is Project Objectives. This is where you define the strategic goal and the specific measurable objectives. Each objective has an ID, a name and a description. For example, OBJ-05 in my LMAS ToR says: "Reduce average service processing time from 14 calendar days to 5 business days." You also include success criteria with specific targets here.</w:t>
      </w:r>
    </w:p>
    <w:p>
      <w:pPr>
        <w:spacing w:after="120" w:line="280" w:lineRule="exact"/>
      </w:pPr>
      <w:r>
        <w:rPr>
          <w:rFonts w:ascii="Calibri" w:hAnsi="Calibri"/>
          <w:color w:val="2C2C2C"/>
          <w:sz w:val="22"/>
        </w:rPr>
        <w:t>Section 3 is Project Scope. This is one of the most important sections. It has four parts: in-scope items, out-of-scope items, assumptions and constraints. The in-scope list defines what the project will deliver. The out-of-scope list is equally important because it prevents scope creep. Assumptions are things you believe to be true but have not verified yet. Constraints are limitations you cannot change, like budget limits or regulatory requirements.</w:t>
      </w:r>
    </w:p>
    <w:p>
      <w:pPr>
        <w:spacing w:after="120" w:line="280" w:lineRule="exact"/>
      </w:pPr>
      <w:r>
        <w:rPr>
          <w:rFonts w:ascii="Calibri" w:hAnsi="Calibri"/>
          <w:color w:val="2C2C2C"/>
          <w:sz w:val="22"/>
        </w:rPr>
        <w:t>Section 4 is Deliverables. This is a complete list of every document, system and report that the project will produce. Each deliverable has an ID, a description, the phase when it is due and the person responsible. In my ToR, I listed 14 deliverables: 8 business analysis deliverables like ToR, BRD, SDD, FRD, SRS, API Specifications, BPMN models and UAT Plan, and 6 technical deliverables like the system architecture, database schema, Telegram bot and web portal.</w:t>
      </w:r>
    </w:p>
    <w:p>
      <w:pPr>
        <w:spacing w:after="120" w:line="280" w:lineRule="exact"/>
      </w:pPr>
      <w:r>
        <w:rPr>
          <w:rFonts w:ascii="Calibri" w:hAnsi="Calibri"/>
          <w:color w:val="2C2C2C"/>
          <w:sz w:val="22"/>
        </w:rPr>
        <w:t>Section 5 is Project Timeline. This shows the phased approach with milestones. In my LMAS ToR, I defined 4 phases across 12 months with 8 key milestones. Each milestone has a date and a description of what "done" looks like.</w:t>
      </w:r>
    </w:p>
    <w:p>
      <w:pPr>
        <w:spacing w:after="120" w:line="280" w:lineRule="exact"/>
      </w:pPr>
      <w:r>
        <w:rPr>
          <w:rFonts w:ascii="Calibri" w:hAnsi="Calibri"/>
          <w:color w:val="2C2C2C"/>
          <w:sz w:val="22"/>
        </w:rPr>
        <w:t>Section 6 is Team Structure and Roles. This defines every role in the project, which organization they come from and what their responsibilities are. It also includes the governance structure: steering committee meetings, sprint reviews and stakeholder syncs with defined frequency and participants.</w:t>
      </w:r>
    </w:p>
    <w:p>
      <w:pPr>
        <w:spacing w:after="120" w:line="280" w:lineRule="exact"/>
      </w:pPr>
      <w:r>
        <w:rPr>
          <w:rFonts w:ascii="Calibri" w:hAnsi="Calibri"/>
          <w:color w:val="2C2C2C"/>
          <w:sz w:val="22"/>
        </w:rPr>
        <w:t>Section 7 is Stakeholder Communication. This is a detailed communication plan that says who you communicate with, through what channel, how often and about what topics. For example, "Steering Committee meets monthly to review project status, risks and budget."</w:t>
      </w:r>
    </w:p>
    <w:p>
      <w:pPr>
        <w:spacing w:after="120" w:line="280" w:lineRule="exact"/>
      </w:pPr>
      <w:r>
        <w:rPr>
          <w:rFonts w:ascii="Calibri" w:hAnsi="Calibri"/>
          <w:color w:val="2C2C2C"/>
          <w:sz w:val="22"/>
        </w:rPr>
        <w:t>Section 8 is Risk Management. This includes a risk register with probability, impact and mitigation for each risk, plus an escalation path for when risks become critical issues.</w:t>
      </w:r>
    </w:p>
    <w:p>
      <w:pPr>
        <w:spacing w:after="120" w:line="280" w:lineRule="exact"/>
      </w:pPr>
      <w:r>
        <w:rPr>
          <w:rFonts w:ascii="Calibri" w:hAnsi="Calibri"/>
          <w:color w:val="2C2C2C"/>
          <w:sz w:val="22"/>
        </w:rPr>
        <w:t>Section 9 is Quality Standards. This defines documentation standards, development standards and acceptance criteria for deliverables.</w:t>
      </w:r>
    </w:p>
    <w:p>
      <w:pPr>
        <w:spacing w:after="120" w:line="280" w:lineRule="exact"/>
      </w:pPr>
      <w:r>
        <w:rPr>
          <w:rFonts w:ascii="Calibri" w:hAnsi="Calibri"/>
          <w:color w:val="2C2C2C"/>
          <w:sz w:val="22"/>
        </w:rPr>
        <w:t>Section 10 is Approval. This includes a signature table where each stakeholder signs to confirm their agreement with the ToR, plus a revision history table.</w:t>
      </w:r>
    </w:p>
    <w:p>
      <w:pPr>
        <w:spacing w:before="360" w:after="80" w:line="280" w:lineRule="exact"/>
        <w:pBdr>
          <w:bottom w:val="single" w:sz="1" w:space="1" w:color="DDDDDD"/>
        </w:pBdr>
      </w:pPr>
      <w:r>
        <w:rPr>
          <w:rFonts w:ascii="Calibri" w:hAnsi="Calibri"/>
          <w:b/>
          <w:color w:val="1A1A1A"/>
          <w:sz w:val="22"/>
        </w:rPr>
        <w:t>Q44</w:t>
      </w:r>
      <w:r>
        <w:rPr>
          <w:rFonts w:ascii="Calibri" w:hAnsi="Calibri"/>
          <w:color w:val="1A1A1A"/>
          <w:sz w:val="22"/>
        </w:rPr>
        <w:t xml:space="preserve">  You already have a BRD that covers business requirements and scope. You also have a Gap Analysis that covers As-Is and To-Be processes. Why do you need a separate Service Design Document? What does the SDD cover that the BRD and Gap Analysis do not?</w:t>
      </w:r>
    </w:p>
    <w:p>
      <w:pPr>
        <w:spacing w:after="120" w:line="280" w:lineRule="exact"/>
      </w:pPr>
      <w:r>
        <w:rPr>
          <w:rFonts w:ascii="Calibri" w:hAnsi="Calibri"/>
          <w:color w:val="2C2C2C"/>
          <w:sz w:val="22"/>
        </w:rPr>
        <w:t>This is the most important question about the SDD, because it is the document that people understand the least. Let me explain the difference clearly.</w:t>
      </w:r>
    </w:p>
    <w:p>
      <w:pPr>
        <w:spacing w:after="120" w:line="280" w:lineRule="exact"/>
      </w:pPr>
      <w:r>
        <w:rPr>
          <w:rFonts w:ascii="Calibri" w:hAnsi="Calibri"/>
          <w:color w:val="2C2C2C"/>
          <w:sz w:val="22"/>
        </w:rPr>
        <w:t>The BRD answers: "What does the business need?" It talks about business goals, stakeholders, scope and requirements. The Gap Analysis answers: "What is wrong with the current process and what should the future process look like?" It shows the As-Is state and the To-Be state at the process level.</w:t>
      </w:r>
    </w:p>
    <w:p>
      <w:pPr>
        <w:spacing w:after="120" w:line="280" w:lineRule="exact"/>
      </w:pPr>
      <w:r>
        <w:rPr>
          <w:rFonts w:ascii="Calibri" w:hAnsi="Calibri"/>
          <w:color w:val="2C2C2C"/>
          <w:sz w:val="22"/>
        </w:rPr>
        <w:t>The SDD answers a completely different question: "How should the citizen experience this service from start to finish?" The SDD takes the citizen perspective and designs the complete service experience, not just the process or the requirements.</w:t>
      </w:r>
    </w:p>
    <w:p>
      <w:pPr>
        <w:spacing w:after="120" w:line="280" w:lineRule="exact"/>
      </w:pPr>
      <w:r>
        <w:rPr>
          <w:rFonts w:ascii="Calibri" w:hAnsi="Calibri"/>
          <w:color w:val="2C2C2C"/>
          <w:sz w:val="22"/>
        </w:rPr>
        <w:t>Let me explain with the LMAS example. The BRD says: "The system shall allow citizens to submit employment service applications through digital channels." The Gap Analysis shows the As-Is process: citizen visits office, waits in queue, submits paper form. And the To-Be process: citizen opens Telegram bot, fills digital form, system validates data automatically.</w:t>
      </w:r>
    </w:p>
    <w:p>
      <w:pPr>
        <w:spacing w:after="120" w:line="280" w:lineRule="exact"/>
      </w:pPr>
      <w:r>
        <w:rPr>
          <w:rFonts w:ascii="Calibri" w:hAnsi="Calibri"/>
          <w:color w:val="2C2C2C"/>
          <w:sz w:val="22"/>
        </w:rPr>
        <w:t>But none of these documents answer the following questions: Who is the citizen using this service? What is their life situation? What are their pain points? What channels do they prefer? What happens at each interaction point? How do multiple government agencies coordinate behind the scenes to deliver this service? What SLA targets should we set? How do we measure if the service is good?</w:t>
      </w:r>
    </w:p>
    <w:p>
      <w:pPr>
        <w:spacing w:after="120" w:line="280" w:lineRule="exact"/>
      </w:pPr>
      <w:r>
        <w:rPr>
          <w:rFonts w:ascii="Calibri" w:hAnsi="Calibri"/>
          <w:color w:val="2C2C2C"/>
          <w:sz w:val="22"/>
        </w:rPr>
        <w:t>These are exactly the questions the SDD answers. The SDD has several unique sections that do not exist in the BRD or Gap Analysis.</w:t>
      </w:r>
    </w:p>
    <w:p>
      <w:pPr>
        <w:spacing w:after="120" w:line="280" w:lineRule="exact"/>
      </w:pPr>
      <w:r>
        <w:rPr>
          <w:rFonts w:ascii="Calibri" w:hAnsi="Calibri"/>
          <w:color w:val="2C2C2C"/>
          <w:sz w:val="22"/>
        </w:rPr>
        <w:t>First, User Research and Personas. The SDD starts by defining who the users are. In my LMAS SDD, I created three personas: a young job seeker who is comfortable with technology, a mid-career worker who recently lost their job and needs guidance, and an employer who wants to post vacancies online. The BRD mentions stakeholders, but it does not go deep into user profiles and behavioral patterns.</w:t>
      </w:r>
    </w:p>
    <w:p>
      <w:pPr>
        <w:spacing w:after="120" w:line="280" w:lineRule="exact"/>
      </w:pPr>
      <w:r>
        <w:rPr>
          <w:rFonts w:ascii="Calibri" w:hAnsi="Calibri"/>
          <w:color w:val="2C2C2C"/>
          <w:sz w:val="22"/>
        </w:rPr>
        <w:t>Second, Service Journey Analysis. The Gap Analysis shows the As-Is and To-Be processes, but the SDD goes deeper. It maps the complete citizen journey including emotional states, pain points at each stage and improvement opportunities. The journey analysis is more detailed because it includes the citizen experience, not just the process steps.</w:t>
      </w:r>
    </w:p>
    <w:p>
      <w:pPr>
        <w:spacing w:after="120" w:line="280" w:lineRule="exact"/>
      </w:pPr>
      <w:r>
        <w:rPr>
          <w:rFonts w:ascii="Calibri" w:hAnsi="Calibri"/>
          <w:color w:val="2C2C2C"/>
          <w:sz w:val="22"/>
        </w:rPr>
        <w:t>Third, Service Blueprint. This is unique to the SDD. A service blueprint maps the relationship between what the citizen sees and what happens behind the scenes. It has five layers: physical evidence, citizen actions, front-stage activities, back-stage activities and support systems. Neither the BRD nor the Gap Analysis provides this multi-layer view.</w:t>
      </w:r>
    </w:p>
    <w:p>
      <w:pPr>
        <w:spacing w:after="120" w:line="280" w:lineRule="exact"/>
      </w:pPr>
      <w:r>
        <w:rPr>
          <w:rFonts w:ascii="Calibri" w:hAnsi="Calibri"/>
          <w:color w:val="2C2C2C"/>
          <w:sz w:val="22"/>
        </w:rPr>
        <w:t>Fourth, Service Channels and Touchpoints. The SDD defines which channels will be used (Telegram bot, web portal, ASAN Service centers) and what happens at each touchpoint. The BRD might mention channels, but the SDD designs the complete channel strategy with target volumes for each channel.</w:t>
      </w:r>
    </w:p>
    <w:p>
      <w:pPr>
        <w:spacing w:after="120" w:line="280" w:lineRule="exact"/>
      </w:pPr>
      <w:r>
        <w:rPr>
          <w:rFonts w:ascii="Calibri" w:hAnsi="Calibri"/>
          <w:color w:val="2C2C2C"/>
          <w:sz w:val="22"/>
        </w:rPr>
        <w:t>Fifth, Multi-Agency Coordination Model. For government services, this is critical. The SDD defines which agencies are involved, what data they provide, what their role is and how they coordinate. The BRD mentions stakeholders but does not design the coordination model.</w:t>
      </w:r>
    </w:p>
    <w:p>
      <w:pPr>
        <w:spacing w:after="120" w:line="280" w:lineRule="exact"/>
      </w:pPr>
      <w:r>
        <w:rPr>
          <w:rFonts w:ascii="Calibri" w:hAnsi="Calibri"/>
          <w:color w:val="2C2C2C"/>
          <w:sz w:val="22"/>
        </w:rPr>
        <w:t>Sixth, SLA and KPI Framework. The SDD defines specific service level agreements and key performance indicators with measurable targets. For example, SLA-03 says: "Application processing within 5 business days with 90% compliance." KPI-05 says: "Citizen satisfaction score of 4.0 out of 5.0." The BRD might mention success criteria, but the SDD creates a complete monitoring framework.</w:t>
      </w:r>
    </w:p>
    <w:p>
      <w:pPr>
        <w:spacing w:after="120" w:line="280" w:lineRule="exact"/>
      </w:pPr>
      <w:r>
        <w:rPr>
          <w:rFonts w:ascii="Calibri" w:hAnsi="Calibri"/>
          <w:color w:val="2C2C2C"/>
          <w:sz w:val="22"/>
        </w:rPr>
        <w:t>Seventh, Service Portfolio Alignment. The SDD checks how the new service fits into the existing portfolio of government services and ensures alignment with national digital government standards. This strategic alignment is not covered by the BRD or Gap Analysis.</w:t>
      </w:r>
    </w:p>
    <w:p>
      <w:pPr>
        <w:spacing w:after="120" w:line="280" w:lineRule="exact"/>
      </w:pPr>
      <w:r>
        <w:rPr>
          <w:rFonts w:ascii="Calibri" w:hAnsi="Calibri"/>
          <w:color w:val="2C2C2C"/>
          <w:sz w:val="22"/>
        </w:rPr>
        <w:t>So in summary: the BRD defines requirements, the Gap Analysis defines process improvements, and the SDD designs the complete citizen service experience including who uses it, how they experience it, what channels deliver it, how agencies coordinate, and how we measure success.</w:t>
      </w:r>
    </w:p>
    <w:p>
      <w:pPr>
        <w:spacing w:before="360" w:after="80" w:line="280" w:lineRule="exact"/>
        <w:pBdr>
          <w:bottom w:val="single" w:sz="1" w:space="1" w:color="DDDDDD"/>
        </w:pBdr>
      </w:pPr>
      <w:r>
        <w:rPr>
          <w:rFonts w:ascii="Calibri" w:hAnsi="Calibri"/>
          <w:b/>
          <w:color w:val="1A1A1A"/>
          <w:sz w:val="22"/>
        </w:rPr>
        <w:t>Q45</w:t>
      </w:r>
      <w:r>
        <w:rPr>
          <w:rFonts w:ascii="Calibri" w:hAnsi="Calibri"/>
          <w:color w:val="1A1A1A"/>
          <w:sz w:val="22"/>
        </w:rPr>
        <w:t xml:space="preserve">  What is the correct structure of a Service Design Document? What sections should it contain?</w:t>
      </w:r>
    </w:p>
    <w:p>
      <w:pPr>
        <w:spacing w:after="120" w:line="280" w:lineRule="exact"/>
      </w:pPr>
      <w:r>
        <w:rPr>
          <w:rFonts w:ascii="Calibri" w:hAnsi="Calibri"/>
          <w:color w:val="2C2C2C"/>
          <w:sz w:val="22"/>
        </w:rPr>
        <w:t>A Service Design Document follows a design thinking approach, not a traditional requirements approach. In my LMAS SDD, I used fifteen sections organized into four logical groups.</w:t>
      </w:r>
    </w:p>
    <w:p>
      <w:pPr>
        <w:spacing w:after="120" w:line="280" w:lineRule="exact"/>
      </w:pPr>
      <w:r>
        <w:rPr>
          <w:rFonts w:ascii="Calibri" w:hAnsi="Calibri"/>
          <w:color w:val="2C2C2C"/>
          <w:sz w:val="22"/>
        </w:rPr>
        <w:t>The first group is Discovery. This includes sections 1 through 4. Section 1 is Executive Summary, which gives a one-page overview of the entire service design for busy decision-makers. Section 2 is Service Vision and Objectives, which defines the long-term vision, strategic objectives and measurable success metrics. Section 3 is Service Context and Stakeholder Analysis, which maps all stakeholders, their roles and how you communicate with each group. Section 4 is User Research and Personas, which documents your research findings, key insights and three to five citizen personas with their needs, behaviors and pain points.</w:t>
      </w:r>
    </w:p>
    <w:p>
      <w:pPr>
        <w:spacing w:after="120" w:line="280" w:lineRule="exact"/>
      </w:pPr>
      <w:r>
        <w:rPr>
          <w:rFonts w:ascii="Calibri" w:hAnsi="Calibri"/>
          <w:color w:val="2C2C2C"/>
          <w:sz w:val="22"/>
        </w:rPr>
        <w:t>The second group is Design. This includes sections 5 through 9. Section 5 is As-Is Service Journey Analysis, which maps the current citizen journey stage by stage with pain points at each stage. Section 6 is To-Be Service Design, which describes the redesigned service journey with improvements at each stage and design principles that guide all decisions. Section 7 is Service Blueprint, which creates a five-layer view connecting citizen actions to front-stage, back-stage and support systems. Section 8 is Service Channels and Touchpoints, which defines the channel strategy and designs each interaction point. Section 9 is Multi-Agency Coordination Model, which defines how government agencies share data, their roles and the integration architecture.</w:t>
      </w:r>
    </w:p>
    <w:p>
      <w:pPr>
        <w:spacing w:after="120" w:line="280" w:lineRule="exact"/>
      </w:pPr>
      <w:r>
        <w:rPr>
          <w:rFonts w:ascii="Calibri" w:hAnsi="Calibri"/>
          <w:color w:val="2C2C2C"/>
          <w:sz w:val="22"/>
        </w:rPr>
        <w:t>The third group is Standards. This includes sections 10 through 12. Section 10 is Service Standards, which defines SLA targets for each service stage and KPI indicators with specific measurable targets. Section 11 is Service Portfolio Alignment, which checks how the service fits into the broader government service portfolio and national digital standards. Section 12 is Process Architecture, which defines the three levels of process design: strategic, tactical and operational.</w:t>
      </w:r>
    </w:p>
    <w:p>
      <w:pPr>
        <w:spacing w:after="120" w:line="280" w:lineRule="exact"/>
      </w:pPr>
      <w:r>
        <w:rPr>
          <w:rFonts w:ascii="Calibri" w:hAnsi="Calibri"/>
          <w:color w:val="2C2C2C"/>
          <w:sz w:val="22"/>
        </w:rPr>
        <w:t>The fourth group is Delivery. This includes sections 13 through 15. Section 13 is Implementation Roadmap, which plans the phased delivery approach with milestones and dependencies. Section 14 is Risks and Dependencies, which includes a risk register with mitigation strategies. Section 15 is Glossary, which defines all key terms used in the document.</w:t>
      </w:r>
    </w:p>
    <w:p>
      <w:pPr>
        <w:spacing w:after="120" w:line="280" w:lineRule="exact"/>
      </w:pPr>
      <w:r>
        <w:rPr>
          <w:rFonts w:ascii="Calibri" w:hAnsi="Calibri"/>
          <w:color w:val="2C2C2C"/>
          <w:sz w:val="22"/>
        </w:rPr>
        <w:t>One important thing to note: the SDD is not a technical document. It does not contain database schemas, API endpoints or code-level specifications. Those belong in the SRS and API Specification. The SDD is a design document that focuses on the citizen experience and service delivery model.</w:t>
      </w:r>
    </w:p>
    <w:p>
      <w:pPr>
        <w:spacing w:before="360" w:after="80" w:line="280" w:lineRule="exact"/>
        <w:pBdr>
          <w:bottom w:val="single" w:sz="1" w:space="1" w:color="DDDDDD"/>
        </w:pBdr>
      </w:pPr>
      <w:r>
        <w:rPr>
          <w:rFonts w:ascii="Calibri" w:hAnsi="Calibri"/>
          <w:b/>
          <w:color w:val="1A1A1A"/>
          <w:sz w:val="22"/>
        </w:rPr>
        <w:t>Q46</w:t>
      </w:r>
      <w:r>
        <w:rPr>
          <w:rFonts w:ascii="Calibri" w:hAnsi="Calibri"/>
          <w:color w:val="1A1A1A"/>
          <w:sz w:val="22"/>
        </w:rPr>
        <w:t xml:space="preserve">  You prepared both a ToR and an SDD for the LMAS project. How do these two documents relate to each other? Which one comes first and how do they connect?</w:t>
      </w:r>
    </w:p>
    <w:p>
      <w:pPr>
        <w:spacing w:after="120" w:line="280" w:lineRule="exact"/>
      </w:pPr>
      <w:r>
        <w:rPr>
          <w:rFonts w:ascii="Calibri" w:hAnsi="Calibri"/>
          <w:color w:val="2C2C2C"/>
          <w:sz w:val="22"/>
        </w:rPr>
        <w:t>The ToR comes first, and the SDD comes second. They have a parent-child relationship where the ToR sets the boundaries and the SDD fills in the design details.</w:t>
      </w:r>
    </w:p>
    <w:p>
      <w:pPr>
        <w:spacing w:after="120" w:line="280" w:lineRule="exact"/>
      </w:pPr>
      <w:r>
        <w:rPr>
          <w:rFonts w:ascii="Calibri" w:hAnsi="Calibri"/>
          <w:color w:val="2C2C2C"/>
          <w:sz w:val="22"/>
        </w:rPr>
        <w:t>Think of it like building a house. The ToR is like the building permit and the project plan. It says: we are building a three-bedroom house on this plot of land, with this budget, this timeline and these people responsible. It defines what you are allowed to build and how the project will be managed.</w:t>
      </w:r>
    </w:p>
    <w:p>
      <w:pPr>
        <w:spacing w:after="120" w:line="280" w:lineRule="exact"/>
      </w:pPr>
      <w:r>
        <w:rPr>
          <w:rFonts w:ascii="Calibri" w:hAnsi="Calibri"/>
          <w:color w:val="2C2C2C"/>
          <w:sz w:val="22"/>
        </w:rPr>
        <w:t>The SDD is like the architectural design. It says: the living room will be here, the kitchen will face east for morning sunlight, the entrance will have these features for wheelchair accessibility and the garden will be designed for family gatherings. It designs the experience of living in the house.</w:t>
      </w:r>
    </w:p>
    <w:p>
      <w:pPr>
        <w:spacing w:after="120" w:line="280" w:lineRule="exact"/>
      </w:pPr>
      <w:r>
        <w:rPr>
          <w:rFonts w:ascii="Calibri" w:hAnsi="Calibri"/>
          <w:color w:val="2C2C2C"/>
          <w:sz w:val="22"/>
        </w:rPr>
        <w:t>In the LMAS project, the ToR says: "OBJ-01: Enable citizens to submit employment service applications through digital channels." This is a project objective with scope and timeline. The SDD then designs how this actually works: which channels, what the citizen journey looks like, what touchpoints the citizen interacts with, what happens behind the scenes and how success is measured.</w:t>
      </w:r>
    </w:p>
    <w:p>
      <w:pPr>
        <w:spacing w:after="120" w:line="280" w:lineRule="exact"/>
      </w:pPr>
      <w:r>
        <w:rPr>
          <w:rFonts w:ascii="Calibri" w:hAnsi="Calibri"/>
          <w:color w:val="2C2C2C"/>
          <w:sz w:val="22"/>
        </w:rPr>
        <w:t>The ToR also defines the deliverables list. In my ToR, deliverable D-03 is the SDD itself. So the ToR creates the requirement to produce the SDD, defines who is responsible and sets the deadline. The SDD then fulfills this requirement.</w:t>
      </w:r>
    </w:p>
    <w:p>
      <w:pPr>
        <w:spacing w:after="120" w:line="280" w:lineRule="exact"/>
      </w:pPr>
      <w:r>
        <w:rPr>
          <w:rFonts w:ascii="Calibri" w:hAnsi="Calibri"/>
          <w:color w:val="2C2C2C"/>
          <w:sz w:val="22"/>
        </w:rPr>
        <w:t>Another connection is the scope. The ToR defines what is in-scope and out-of-scope. The SDD must stay within these boundaries. For example, my ToR says that a mobile native application is out of scope for Phase 1. So the SDD designs the service for Telegram bot and web portal only, not for a mobile app. If the SDD started designing a mobile app experience, that would be a scope violation.</w:t>
      </w:r>
    </w:p>
    <w:p>
      <w:pPr>
        <w:spacing w:after="120" w:line="280" w:lineRule="exact"/>
      </w:pPr>
      <w:r>
        <w:rPr>
          <w:rFonts w:ascii="Calibri" w:hAnsi="Calibri"/>
          <w:color w:val="2C2C2C"/>
          <w:sz w:val="22"/>
        </w:rPr>
        <w:t>The risk register in the ToR also connects to the SDD. For example, ToR risk R-03 says: "Low citizen adoption of digital channels." The SDD addresses this risk by designing a simplified onboarding experience in the citizen journey and by defining ASAN Service centers as a fallback channel for citizens who cannot use digital channels.</w:t>
      </w:r>
    </w:p>
    <w:p>
      <w:pPr>
        <w:spacing w:after="120" w:line="280" w:lineRule="exact"/>
      </w:pPr>
      <w:r>
        <w:rPr>
          <w:rFonts w:ascii="Calibri" w:hAnsi="Calibri"/>
          <w:color w:val="2C2C2C"/>
          <w:sz w:val="22"/>
        </w:rPr>
        <w:t>So the relationship is: ToR defines the project frame and governance. SDD designs the service within that frame. ToR is the first document you write. SDD comes after, and it must respect the scope, timeline and constraints defined in the ToR.</w:t>
      </w:r>
    </w:p>
    <w:p>
      <w:pPr>
        <w:spacing w:before="360" w:after="80" w:line="280" w:lineRule="exact"/>
        <w:pBdr>
          <w:bottom w:val="single" w:sz="1" w:space="1" w:color="DDDDDD"/>
        </w:pBdr>
      </w:pPr>
      <w:r>
        <w:rPr>
          <w:rFonts w:ascii="Calibri" w:hAnsi="Calibri"/>
          <w:b/>
          <w:color w:val="1A1A1A"/>
          <w:sz w:val="22"/>
        </w:rPr>
        <w:t>Q47</w:t>
      </w:r>
      <w:r>
        <w:rPr>
          <w:rFonts w:ascii="Calibri" w:hAnsi="Calibri"/>
          <w:color w:val="1A1A1A"/>
          <w:sz w:val="22"/>
        </w:rPr>
        <w:t xml:space="preserve">  You have prepared many BA documents: ToR, BRD, SDD, FRD, SRS, User Stories, API Specifications, BPMN models and UAT Plan. In what order do you prepare them and why?</w:t>
      </w:r>
    </w:p>
    <w:p>
      <w:pPr>
        <w:spacing w:after="120" w:line="280" w:lineRule="exact"/>
      </w:pPr>
      <w:r>
        <w:rPr>
          <w:rFonts w:ascii="Calibri" w:hAnsi="Calibri"/>
          <w:color w:val="2C2C2C"/>
          <w:sz w:val="22"/>
        </w:rPr>
        <w:t>There is a logical order, but in practice some documents overlap. Let me explain the ideal order and then how it works in reality.</w:t>
      </w:r>
    </w:p>
    <w:p>
      <w:pPr>
        <w:spacing w:after="120" w:line="280" w:lineRule="exact"/>
      </w:pPr>
      <w:r>
        <w:rPr>
          <w:rFonts w:ascii="Calibri" w:hAnsi="Calibri"/>
          <w:color w:val="2C2C2C"/>
          <w:sz w:val="22"/>
        </w:rPr>
        <w:t>The ideal order follows a waterfall approach within each phase. Phase 1 starts with the ToR, because you cannot start a project without defining the scope, objectives, governance and timeline. The ToR gets approved by the steering committee. Then you write the BRD, which defines the business requirements in detail. Then you write the SDD, which designs the service experience. Then you create BPMN models for the As-Is and To-Be processes. All of these happen in Phase 1.</w:t>
      </w:r>
    </w:p>
    <w:p>
      <w:pPr>
        <w:spacing w:after="120" w:line="280" w:lineRule="exact"/>
      </w:pPr>
      <w:r>
        <w:rPr>
          <w:rFonts w:ascii="Calibri" w:hAnsi="Calibri"/>
          <w:color w:val="2C2C2C"/>
          <w:sz w:val="22"/>
        </w:rPr>
        <w:t>Phase 2 is when you write the FRD, which converts business requirements into detailed functional requirements with user stories and acceptance criteria. Then you write the SRS, which adds technical system requirements. Then you write the API Specifications for all integrations. These happen in Phase 2.</w:t>
      </w:r>
    </w:p>
    <w:p>
      <w:pPr>
        <w:spacing w:after="120" w:line="280" w:lineRule="exact"/>
      </w:pPr>
      <w:r>
        <w:rPr>
          <w:rFonts w:ascii="Calibri" w:hAnsi="Calibri"/>
          <w:color w:val="2C2C2C"/>
          <w:sz w:val="22"/>
        </w:rPr>
        <w:t>Phase 3 is when you prepare the UAT Plan and execute testing with stakeholders.</w:t>
      </w:r>
    </w:p>
    <w:p>
      <w:pPr>
        <w:spacing w:after="120" w:line="280" w:lineRule="exact"/>
      </w:pPr>
      <w:r>
        <w:rPr>
          <w:rFonts w:ascii="Calibri" w:hAnsi="Calibri"/>
          <w:color w:val="2C2C2C"/>
          <w:sz w:val="22"/>
        </w:rPr>
        <w:t>So the ideal order is: ToR, BRD, SDD, BPMN, FRD, SRS, API Spec, UAT Plan.</w:t>
      </w:r>
    </w:p>
    <w:p>
      <w:pPr>
        <w:spacing w:after="120" w:line="280" w:lineRule="exact"/>
      </w:pPr>
      <w:r>
        <w:rPr>
          <w:rFonts w:ascii="Calibri" w:hAnsi="Calibri"/>
          <w:color w:val="2C2C2C"/>
          <w:sz w:val="22"/>
        </w:rPr>
        <w:t>But in reality, some documents are written in parallel. For example, I usually start the BRD and the SDD at the same time because they inform each other. When I write a BRD requirement like "citizens must be able to track application status," this influences the SDD service journey design. And when I design the citizen journey in the SDD, I often discover new requirements that need to go into the BRD. So I work on both documents and update them as I go.</w:t>
      </w:r>
    </w:p>
    <w:p>
      <w:pPr>
        <w:spacing w:after="120" w:line="280" w:lineRule="exact"/>
      </w:pPr>
      <w:r>
        <w:rPr>
          <w:rFonts w:ascii="Calibri" w:hAnsi="Calibri"/>
          <w:color w:val="2C2C2C"/>
          <w:sz w:val="22"/>
        </w:rPr>
        <w:t>The same is true for the FRD and SRS. The FRD defines the functional requirements, and the SRS adds the technical details. These two documents are closely connected, and I usually work on them together.</w:t>
      </w:r>
    </w:p>
    <w:p>
      <w:pPr>
        <w:spacing w:after="120" w:line="280" w:lineRule="exact"/>
      </w:pPr>
      <w:r>
        <w:rPr>
          <w:rFonts w:ascii="Calibri" w:hAnsi="Calibri"/>
          <w:color w:val="2C2C2C"/>
          <w:sz w:val="22"/>
        </w:rPr>
        <w:t>One important rule I follow: the ToR must be completed and approved first before any other document. The ToR defines the project boundaries, and if you start writing the BRD without an approved ToR, you risk writing requirements for things that are out of scope or missing things that are in scope.</w:t>
      </w:r>
    </w:p>
    <w:p>
      <w:pPr>
        <w:spacing w:after="120" w:line="280" w:lineRule="exact"/>
      </w:pPr>
      <w:r>
        <w:rPr>
          <w:rFonts w:ascii="Calibri" w:hAnsi="Calibri"/>
          <w:color w:val="2C2C2C"/>
          <w:sz w:val="22"/>
        </w:rPr>
        <w:t>Another rule: the UAT Plan is always the last document. You cannot plan testing until all requirements are defined and documented.</w:t>
      </w:r>
    </w:p>
    <w:p>
      <w:pPr>
        <w:spacing w:before="360" w:after="80" w:line="280" w:lineRule="exact"/>
        <w:pBdr>
          <w:bottom w:val="single" w:sz="1" w:space="1" w:color="DDDDDD"/>
        </w:pBdr>
      </w:pPr>
      <w:r>
        <w:rPr>
          <w:rFonts w:ascii="Calibri" w:hAnsi="Calibri"/>
          <w:b/>
          <w:color w:val="1A1A1A"/>
          <w:sz w:val="22"/>
        </w:rPr>
        <w:t>Q48</w:t>
      </w:r>
      <w:r>
        <w:rPr>
          <w:rFonts w:ascii="Calibri" w:hAnsi="Calibri"/>
          <w:color w:val="1A1A1A"/>
          <w:sz w:val="22"/>
        </w:rPr>
        <w:t xml:space="preserve">  The Innovation Agency uses Service Design methodology. How does your SDD document reflect Service Design methodology, and what Service Design tools and techniques did you use?</w:t>
      </w:r>
    </w:p>
    <w:p>
      <w:pPr>
        <w:spacing w:after="120" w:line="280" w:lineRule="exact"/>
      </w:pPr>
      <w:r>
        <w:rPr>
          <w:rFonts w:ascii="Calibri" w:hAnsi="Calibri"/>
          <w:color w:val="2C2C2C"/>
          <w:sz w:val="22"/>
        </w:rPr>
        <w:t>Service Design is a methodology that puts the citizen at the center of the design process. Instead of designing services from the institution perspective, you design them from the citizen perspective. My SDD uses several Service Design tools and techniques to apply this methodology.</w:t>
      </w:r>
    </w:p>
    <w:p>
      <w:pPr>
        <w:spacing w:after="120" w:line="280" w:lineRule="exact"/>
      </w:pPr>
      <w:r>
        <w:rPr>
          <w:rFonts w:ascii="Calibri" w:hAnsi="Calibri"/>
          <w:color w:val="2C2C2C"/>
          <w:sz w:val="22"/>
        </w:rPr>
        <w:t>The first tool is User Research. In Service Design, you always start with research before design. In my SDD, section 4 documents the user research I conducted: 12 stakeholder interviews and analysis of 200+ citizen feedback records. This research identified six key findings about citizen pain points, which directly influenced all design decisions.</w:t>
      </w:r>
    </w:p>
    <w:p>
      <w:pPr>
        <w:spacing w:after="120" w:line="280" w:lineRule="exact"/>
      </w:pPr>
      <w:r>
        <w:rPr>
          <w:rFonts w:ascii="Calibri" w:hAnsi="Calibri"/>
          <w:color w:val="2C2C2C"/>
          <w:sz w:val="22"/>
        </w:rPr>
        <w:t>The second tool is Personas. Personas are fictional characters that represent real user groups. They help the design team think about real people instead of abstract requirements. In my SDD, I created three personas based on the research data: a young job seeker, a mid-career worker and an employer. Each persona has specific needs, behaviors and pain points that the service design must address.</w:t>
      </w:r>
    </w:p>
    <w:p>
      <w:pPr>
        <w:spacing w:after="120" w:line="280" w:lineRule="exact"/>
      </w:pPr>
      <w:r>
        <w:rPr>
          <w:rFonts w:ascii="Calibri" w:hAnsi="Calibri"/>
          <w:color w:val="2C2C2C"/>
          <w:sz w:val="22"/>
        </w:rPr>
        <w:t>The third tool is Service Journey Mapping. This is one of the most important Service Design tools. A journey map shows every step a citizen takes from the moment they become aware of a service to the moment they receive the result. In my SDD, sections 5 and 6 contain the As-Is and To-Be journey maps. The As-Is map shows seven stages of the current process with pain points at each stage. The To-Be map shows the redesigned seven stages with specific improvements.</w:t>
      </w:r>
    </w:p>
    <w:p>
      <w:pPr>
        <w:spacing w:after="120" w:line="280" w:lineRule="exact"/>
      </w:pPr>
      <w:r>
        <w:rPr>
          <w:rFonts w:ascii="Calibri" w:hAnsi="Calibri"/>
          <w:color w:val="2C2C2C"/>
          <w:sz w:val="22"/>
        </w:rPr>
        <w:t>The fourth tool is Service Blueprinting. A service blueprint is like an x-ray of the service. It shows five layers: what the citizen sees (physical evidence), what the citizen does (actions), what happens in front of the citizen (front-stage), what happens behind the scenes (back-stage) and what systems support everything (support systems). In my SDD, section 7 contains the service blueprint that maps all five layers.</w:t>
      </w:r>
    </w:p>
    <w:p>
      <w:pPr>
        <w:spacing w:after="120" w:line="280" w:lineRule="exact"/>
      </w:pPr>
      <w:r>
        <w:rPr>
          <w:rFonts w:ascii="Calibri" w:hAnsi="Calibri"/>
          <w:color w:val="2C2C2C"/>
          <w:sz w:val="22"/>
        </w:rPr>
        <w:t>The fifth tool is Life-Event Based Design. This is a Service Design approach where services are organized around key life events instead of government departments. Instead of saying "these are the services the employment agency provides," you say "when a citizen loses their job, these are all the services they need." In my SDD, I applied this approach by designing the service around the life event of unemployment rather than around agency departments.</w:t>
      </w:r>
    </w:p>
    <w:p>
      <w:pPr>
        <w:spacing w:after="120" w:line="280" w:lineRule="exact"/>
      </w:pPr>
      <w:r>
        <w:rPr>
          <w:rFonts w:ascii="Calibri" w:hAnsi="Calibri"/>
          <w:color w:val="2C2C2C"/>
          <w:sz w:val="22"/>
        </w:rPr>
        <w:t>The sixth tool is Multi-Channel Design. Citizens should be able to access services through multiple channels: Telegram bot for quick interactions, web portal for complex tasks, ASAN centers for exceptional cases. My SDD section 8 designs the channel strategy with target volumes for each channel.</w:t>
      </w:r>
    </w:p>
    <w:p>
      <w:pPr>
        <w:spacing w:after="120" w:line="280" w:lineRule="exact"/>
      </w:pPr>
      <w:r>
        <w:rPr>
          <w:rFonts w:ascii="Calibri" w:hAnsi="Calibri"/>
          <w:color w:val="2C2C2C"/>
          <w:sz w:val="22"/>
        </w:rPr>
        <w:t>The seventh tool is SLA and KPI Design. Service Design is not only about designing the service but also about measuring its performance. My SDD section 10 defines six SLAs and seven KPIs with specific measurable targets. This is the "how do we know the design works" part of Service Design.</w:t>
      </w:r>
    </w:p>
    <w:p>
      <w:pPr>
        <w:spacing w:after="120" w:line="280" w:lineRule="exact"/>
      </w:pPr>
      <w:r>
        <w:rPr>
          <w:rFonts w:ascii="Calibri" w:hAnsi="Calibri"/>
          <w:color w:val="2C2C2C"/>
          <w:sz w:val="22"/>
        </w:rPr>
        <w:t>So my SDD is not just a document. It is the output of applying Service Design methodology to a real government service. Each section uses a specific Service Design tool to ensure the final service is citizen-centered, measurable and aligned across multiple agencies.</w:t>
      </w:r>
    </w:p>
    <w:p>
      <w:r>
        <w:rPr>
          <w:b/>
          <w:sz w:val="22"/>
        </w:rPr>
        <w:t xml:space="preserve">Q49  </w:t>
      </w:r>
      <w:r>
        <w:rPr>
          <w:sz w:val="22"/>
        </w:rPr>
        <w:t>The Innovation Agency wants to consolidate government services from individual agency applications into the MyGov platform. What does service consolidation mean for a Business Analyst, and what are the main challenges?</w:t>
      </w:r>
    </w:p>
    <w:p>
      <w:r>
        <w:rPr>
          <w:sz w:val="22"/>
        </w:rPr>
        <w:t>Service consolidation means bringing services that are currently delivered through separate agency platforms, such as the Azersu mobile app or the Ministry of Culture portal, into one unified platform called MyGov. Instead of a citizen downloading ten different apps for ten different services, they use one platform for all government services.</w:t>
      </w:r>
    </w:p>
    <w:p>
      <w:r>
        <w:rPr>
          <w:sz w:val="22"/>
        </w:rPr>
        <w:t>This concept is not new. The United Kingdom did this with GOV.UK, consolidating over 300 government websites into one portal. Estonia did it with e-Estonia, bringing all public services under a single digital platform. India did it with the UMANG app, integrating services from 120-plus central and state government departments. In each case, the BA played a central role in analyzing, planning and executing the consolidation.</w:t>
      </w:r>
    </w:p>
    <w:p>
      <w:r>
        <w:rPr>
          <w:sz w:val="22"/>
        </w:rPr>
        <w:t>For a Business Analyst, service consolidation involves several major activities. First, service inventory: you must catalog every service that each government agency currently provides digitally. This means meeting with every agency, understanding their service list, and documenting each service with its current process, delivery channel, backend system, data sources and user volume. Many agencies do not have a complete or up-to-date service catalog, so this step alone can take months.</w:t>
      </w:r>
    </w:p>
    <w:p>
      <w:r>
        <w:rPr>
          <w:sz w:val="22"/>
        </w:rPr>
        <w:t>Second, prioritization: you cannot migrate 500 services at once. You need a prioritization framework based on factors like citizen demand, technical complexity, agency readiness and strategic importance. High-volume, high-impact services with technically ready agencies should come first. This requires close coordination with agency leadership and the Innovation Agency steering committee.</w:t>
      </w:r>
    </w:p>
    <w:p>
      <w:r>
        <w:rPr>
          <w:sz w:val="22"/>
        </w:rPr>
        <w:t>Third, integration design: each agency has different backend systems, different data formats and different levels of technical maturity. The BA must define the interoperability requirements between MyGov and each agency system, including API standards, data exchange protocols, security requirements and authentication methods. Some agencies have modern REST APIs, while others still use legacy systems with no API at all.</w:t>
      </w:r>
    </w:p>
    <w:p>
      <w:r>
        <w:rPr>
          <w:sz w:val="22"/>
        </w:rPr>
        <w:t>The main challenges are both technical and organizational. On the technical side, legacy systems without APIs, inconsistent data models across agencies, and security concerns about cross-agency data exchange are the biggest obstacles. On the organizational side, agency resistance is the hardest challenge. Many agencies see their digital platforms as a symbol of their institutional identity and independence. Convincing them to migrate their services to MyGov requires strong political support, clear communication of benefits and sometimes formal government mandates.</w:t>
      </w:r>
    </w:p>
    <w:p>
      <w:r>
        <w:rPr>
          <w:b/>
          <w:sz w:val="22"/>
        </w:rPr>
        <w:t xml:space="preserve">Q50  </w:t>
      </w:r>
      <w:r>
        <w:rPr>
          <w:sz w:val="22"/>
        </w:rPr>
        <w:t>What is an interoperability layer, and why is it important for the MyGov platform?</w:t>
      </w:r>
    </w:p>
    <w:p>
      <w:r>
        <w:rPr>
          <w:sz w:val="22"/>
        </w:rPr>
        <w:t>An interoperability layer is a technical middleware that enables different systems to communicate with each other. Think of it as a universal translator. When Agency A speaks one technical language and Agency B speaks a different language, the interoperability layer sits between them and translates so they can exchange data seamlessly.</w:t>
      </w:r>
    </w:p>
    <w:p>
      <w:r>
        <w:rPr>
          <w:sz w:val="22"/>
        </w:rPr>
        <w:t>In the context of MyGov, the interoperability layer is the component that connects the MyGov front-end platform to the backend systems of all government agencies. When a citizen submits a service request through MyGov, the interoperability layer routes this request to the correct agency system, translates the data format, handles authentication and returns the response back to MyGov.</w:t>
      </w:r>
    </w:p>
    <w:p>
      <w:r>
        <w:rPr>
          <w:sz w:val="22"/>
        </w:rPr>
        <w:t>The most famous example of an interoperability layer in the world is X-Road in Estonia. X-Road connects over 900 organizations and handles more than one billion data exchange transactions per year. Every time a citizen accesses a government service in Estonia, X-Road coordinates the data exchange between the relevant agencies behind the scenes. The citizen does not see any of this complexity; they simply see a fast, seamless service experience.</w:t>
      </w:r>
    </w:p>
    <w:p>
      <w:r>
        <w:rPr>
          <w:sz w:val="22"/>
        </w:rPr>
        <w:t>As a Business Analyst, my role in the interoperability layer is not to build it, because that is the job of the technical architects and developers. My role is to define what the interoperability layer must do. This means documenting the data exchange requirements for each agency, defining the API standards and message formats, specifying the security and authentication rules, and describing the error handling and fallback procedures. I did similar work at the Central Bank when I coordinated the integration of ten-plus government organizations into the Government Payment Portal, where I defined data exchange requirements and integration specifications for each agency and designed the interoperability layer for cross-system data exchange.</w:t>
      </w:r>
    </w:p>
    <w:p>
      <w:r>
        <w:rPr>
          <w:b/>
          <w:sz w:val="22"/>
        </w:rPr>
        <w:t xml:space="preserve">Q51  </w:t>
      </w:r>
      <w:r>
        <w:rPr>
          <w:sz w:val="22"/>
        </w:rPr>
        <w:t>What does a registry-based approach mean in digital government, and how is it different from simply calling an API?</w:t>
      </w:r>
    </w:p>
    <w:p>
      <w:r>
        <w:rPr>
          <w:sz w:val="22"/>
        </w:rPr>
        <w:t>A registry-based approach means that government data is stored in centralized, authoritative databases called registries, and all government agencies access this data through the registries instead of maintaining their own copies. The registry is the single source of truth.</w:t>
      </w:r>
    </w:p>
    <w:p>
      <w:r>
        <w:rPr>
          <w:sz w:val="22"/>
        </w:rPr>
        <w:t>For example, in Azerbaijan, the citizen registry holds basic information about every citizen: name, address, family status and identification number. When a citizen applies for a service at any agency, the agency does not ask the citizen to provide copies of their ID or proof of address. Instead, the agency system queries the citizen registry through the interoperability layer and retrieves the data automatically.</w:t>
      </w:r>
    </w:p>
    <w:p>
      <w:r>
        <w:rPr>
          <w:sz w:val="22"/>
        </w:rPr>
        <w:t>This is fundamentally different from a simple API call. With a standard API, System A calls System B to get some data. System B owns the data and System A just borrows it. With a registry-based approach, the registry is the authoritative owner of that data, and no other system stores a permanent copy. Every time any agency needs that data, they access the registry in real time.</w:t>
      </w:r>
    </w:p>
    <w:p>
      <w:r>
        <w:rPr>
          <w:sz w:val="22"/>
        </w:rPr>
        <w:t>There are several important benefits. First, data consistency: because there is only one authoritative copy, there are no conflicts between different agency databases. Second, the once-only principle: citizens do not need to submit the same information multiple times to different agencies. Third, data governance: it is clear who owns the data, who can access it and under what conditions.</w:t>
      </w:r>
    </w:p>
    <w:p>
      <w:r>
        <w:rPr>
          <w:sz w:val="22"/>
        </w:rPr>
        <w:t>In practice, I worked with registry-based data exchange at ASAN Service, where citizen data from multiple government registries was accessed to deliver services without requiring citizens to bring paper documents. This experience is directly relevant to the MyGov platform, where the same registry-based approach will be used at a larger scale across all government services.</w:t>
      </w:r>
    </w:p>
    <w:p>
      <w:r>
        <w:rPr>
          <w:b/>
          <w:sz w:val="22"/>
        </w:rPr>
        <w:t xml:space="preserve">Q52  </w:t>
      </w:r>
      <w:r>
        <w:rPr>
          <w:sz w:val="22"/>
        </w:rPr>
        <w:t>What is the once-only principle in digital government, and how does it affect how you design services for MyGov?</w:t>
      </w:r>
    </w:p>
    <w:p>
      <w:r>
        <w:rPr>
          <w:sz w:val="22"/>
        </w:rPr>
        <w:t>The once-only principle is a fundamental rule of digital government that says: citizens and businesses should only have to provide the same information to the government once. If you already submitted your address to one agency, no other agency should ask you for your address again. They should retrieve it from the relevant registry or database.</w:t>
      </w:r>
    </w:p>
    <w:p>
      <w:r>
        <w:rPr>
          <w:sz w:val="22"/>
        </w:rPr>
        <w:t>This principle is actually a legal requirement in the European Union, under the EU Digital Single Market regulations. Estonia was one of the first countries to implement it fully. In Estonia, when you submit any information to any government agency, that information is automatically available to all other agencies through the X-Road interoperability layer. Citizens never have to fill in the same data twice.</w:t>
      </w:r>
    </w:p>
    <w:p>
      <w:r>
        <w:rPr>
          <w:sz w:val="22"/>
        </w:rPr>
        <w:t>For the MyGov platform, the once-only principle has a direct impact on how I design services. When I write the SDD for a service migration to MyGov, I must analyze every data field in the current service form and ask: is this data already available in a government registry? If yes, then the MyGov service should not ask the citizen to enter it manually. Instead, the system should retrieve it automatically from the registry.</w:t>
      </w:r>
    </w:p>
    <w:p>
      <w:r>
        <w:rPr>
          <w:sz w:val="22"/>
        </w:rPr>
        <w:t>For example, if a citizen applies for a service through MyGov and the form asks for their full name, date of birth and address, I need to check whether this data exists in the citizen registry. If it does, I design the service so that these fields are pre-populated from the registry and the citizen only needs to verify them, not type them. This reduces form filling time, reduces errors and improves the citizen experience.</w:t>
      </w:r>
    </w:p>
    <w:p>
      <w:r>
        <w:rPr>
          <w:sz w:val="22"/>
        </w:rPr>
        <w:t>There are practical challenges, of course. Not all data exists in registries. Some agencies still rely on paper-based records. Some registries are not connected to the interoperability layer. And there are data privacy and consent concerns: citizens must be informed about which agencies are accessing their data and must give their consent. As a BA, I need to document all these constraints in the SDD and define how the service handles cases where registry data is not available.</w:t>
      </w:r>
    </w:p>
    <w:p>
      <w:r>
        <w:rPr>
          <w:b/>
          <w:sz w:val="22"/>
        </w:rPr>
        <w:t xml:space="preserve">Q53  </w:t>
      </w:r>
      <w:r>
        <w:rPr>
          <w:sz w:val="22"/>
        </w:rPr>
        <w:t>When migrating hundreds of services from individual agency platforms to MyGov, how do you decide which services to migrate first?</w:t>
      </w:r>
    </w:p>
    <w:p>
      <w:r>
        <w:rPr>
          <w:sz w:val="22"/>
        </w:rPr>
        <w:t>This is one of the most important decisions in a service consolidation project, and the answer is: you need a structured prioritization framework. You cannot migrate services randomly or based on which agency complains the loudest. You need objective criteria.</w:t>
      </w:r>
    </w:p>
    <w:p>
      <w:r>
        <w:rPr>
          <w:sz w:val="22"/>
        </w:rPr>
        <w:t>I use a multi-factor prioritization matrix. The first factor is citizen demand, which means how many citizens use this service and how frequently. A service that ten thousand citizens use every day should clearly be migrated before a service that fifty citizens use once a year. I can measure this using analytics data from the current agency platforms.</w:t>
      </w:r>
    </w:p>
    <w:p>
      <w:r>
        <w:rPr>
          <w:sz w:val="22"/>
        </w:rPr>
        <w:t>The second factor is citizen impact, which means how much the citizen experience improves after migration. If a service currently requires three physical office visits and ten paper documents, migrating it to MyGov will have a huge impact. If a service is already available online and works well, the impact of migration is smaller, even if the volume is high.</w:t>
      </w:r>
    </w:p>
    <w:p>
      <w:r>
        <w:rPr>
          <w:sz w:val="22"/>
        </w:rPr>
        <w:t>The third factor is technical complexity. Some services are simple: one form, one database, one approval step. These can be migrated quickly. Other services require integration with five different backend systems, real-time data exchange and complex business rules. These take much longer. I need to balance the value of migrating a service against the cost and time required.</w:t>
      </w:r>
    </w:p>
    <w:p>
      <w:r>
        <w:rPr>
          <w:sz w:val="22"/>
        </w:rPr>
        <w:t>The fourth factor is agency readiness. Some agencies have modern IT systems, well-documented APIs and motivated teams. They are ready to integrate with MyGov quickly. Other agencies have legacy systems, no APIs and limited IT capacity. They need more time and support. I assess agency readiness through a structured evaluation that covers technical infrastructure, data quality, documentation and organizational willingness.</w:t>
      </w:r>
    </w:p>
    <w:p>
      <w:r>
        <w:rPr>
          <w:sz w:val="22"/>
        </w:rPr>
        <w:t>The fifth factor is strategic alignment. The Innovation Agency may have political priorities or national strategy goals that influence the order. For example, if the President announced that unemployment services must be digital by a certain date, that service gets higher priority regardless of other factors.</w:t>
      </w:r>
    </w:p>
    <w:p>
      <w:r>
        <w:rPr>
          <w:sz w:val="22"/>
        </w:rPr>
        <w:t>In practice, I would create a prioritization matrix with all services listed, score each service against these five factors, and recommend a phased migration plan. Phase 1 would include high-volume, high-impact, low-complexity services from ready agencies. Phase 2 would add medium-complexity services. Phase 3 would tackle the most complex integrations. This is the same phased approach I used in the GPP project at the Central Bank, where I coordinated the integration of ten-plus organizations into a single platform in multiple phases.</w:t>
      </w:r>
    </w:p>
    <w:p>
      <w:r>
        <w:rPr>
          <w:b/>
          <w:sz w:val="22"/>
        </w:rPr>
        <w:t xml:space="preserve">Q54  </w:t>
      </w:r>
      <w:r>
        <w:rPr>
          <w:sz w:val="22"/>
        </w:rPr>
        <w:t>What is the difference between platform thinking and project thinking, and why does it matter for MyGov?</w:t>
      </w:r>
    </w:p>
    <w:p>
      <w:r>
        <w:rPr>
          <w:sz w:val="22"/>
        </w:rPr>
        <w:t>This is an important distinction. Project thinking means you focus on delivering one specific service or one specific feature. You define the requirements, you build it, you test it and you deliver it. Your success is measured by whether that one service works correctly. This is how most BA work has traditionally been done.</w:t>
      </w:r>
    </w:p>
    <w:p>
      <w:r>
        <w:rPr>
          <w:sz w:val="22"/>
        </w:rPr>
        <w:t>Platform thinking means you focus on building a foundation that can support many services, now and in the future. You are not building one service; you are building the infrastructure, standards and reusable components that allow hundreds of services to be added efficiently over time. Your success is measured by how easily new services can be added to the platform.</w:t>
      </w:r>
    </w:p>
    <w:p>
      <w:r>
        <w:rPr>
          <w:sz w:val="22"/>
        </w:rPr>
        <w:t>Let me give you a concrete example. In project thinking, if you need to build an online application form for a specific service, you design the form, build it and deploy it. Done. In platform thinking, you design a generic form engine that can generate any type of government service form. The first service uses this engine, the second service uses the same engine, and the fiftieth service also uses the same engine. You invest more time in the beginning, but each additional service becomes cheaper and faster to deploy.</w:t>
      </w:r>
    </w:p>
    <w:p>
      <w:r>
        <w:rPr>
          <w:sz w:val="22"/>
        </w:rPr>
        <w:t>The same logic applies to other components. Instead of building a payment integration for one service, you build a shared payment gateway that all services use. Instead of building a notification system for one agency, you build a central notification service that any agency can connect to. Instead of building user authentication for each service, you build a single sign-on system that works across all services on MyGov.</w:t>
      </w:r>
    </w:p>
    <w:p>
      <w:r>
        <w:rPr>
          <w:sz w:val="22"/>
        </w:rPr>
        <w:t>For a Business Analyst, platform thinking changes how I write requirements. Instead of writing requirements that are specific to one service, I try to write requirements that define reusable patterns and standards. For example, instead of saying 'the employment service application form shall have five fields,' I say 'all service application forms on the MyGov platform shall follow the standard form design template defined in the MyGov Design System, with agency-specific fields defined in the service configuration.'</w:t>
      </w:r>
    </w:p>
    <w:p>
      <w:r>
        <w:rPr>
          <w:sz w:val="22"/>
        </w:rPr>
        <w:t>This approach requires more upfront analysis and more abstract thinking, but it pays off enormously when you are dealing with hundreds of services. It ensures consistency across services, reduces development costs over time and makes the platform easier to maintain and scale.</w:t>
      </w:r>
    </w:p>
    <w:p>
      <w:r>
        <w:rPr>
          <w:b/>
          <w:sz w:val="22"/>
        </w:rPr>
        <w:t xml:space="preserve">Q55  </w:t>
      </w:r>
      <w:r>
        <w:rPr>
          <w:sz w:val="22"/>
        </w:rPr>
        <w:t>In a service consolidation project, how do you handle agency resistance to migrating their services to MyGov?</w:t>
      </w:r>
    </w:p>
    <w:p>
      <w:r>
        <w:rPr>
          <w:sz w:val="22"/>
        </w:rPr>
        <w:t>Agency resistance is the single biggest risk in any service consolidation project, and it is completely understandable. When an agency has spent years building their digital platform, training their team and establishing their online presence, being told to migrate everything to a shared platform feels like losing control, losing visibility and losing institutional identity.</w:t>
      </w:r>
    </w:p>
    <w:p>
      <w:r>
        <w:rPr>
          <w:sz w:val="22"/>
        </w:rPr>
        <w:t>The first and most important principle is that resistance cannot be overcome by technical arguments alone. You cannot convince an agency director to migrate by showing them API documentation and system architecture diagrams. You need to speak their language and address their real concerns.</w:t>
      </w:r>
    </w:p>
    <w:p>
      <w:r>
        <w:rPr>
          <w:sz w:val="22"/>
        </w:rPr>
        <w:t>I use a stakeholder engagement approach that has four steps. The first step is listening. Before I propose anything, I schedule meetings with agency leadership and their IT teams. My goal is to understand their perspective: what do they like about their current platform? What are they proud of? What are they worried about losing? Often, their concerns are very practical. They worry about response times for their citizens. They worry about data security. They worry that their team will become irrelevant.</w:t>
      </w:r>
    </w:p>
    <w:p>
      <w:r>
        <w:rPr>
          <w:sz w:val="22"/>
        </w:rPr>
        <w:t>The second step is framing the benefits correctly. I do not say 'you must migrate because the government decided so.' Instead, I frame it as a win for the agency. I explain that by joining MyGov, their services will reach more citizens because MyGov has higher traffic than their individual app. I explain that the Innovation Agency will handle platform maintenance, which reduces their IT budget. I explain that their agency brand and service quality will still be visible within the MyGov platform.</w:t>
      </w:r>
    </w:p>
    <w:p>
      <w:r>
        <w:rPr>
          <w:sz w:val="22"/>
        </w:rPr>
        <w:t>The third step is proposing a phased transition that minimizes disruption. I never propose a hard cutover where their app is shut down on Monday and MyGov takes over on Tuesday. Instead, I propose a parallel period where both the agency app and the MyGov service run simultaneously. Citizens can choose which one to use. Over time, we gradually redirect traffic to MyGov. This gives the agency time to adapt and gives their citizens time to get used to the new channel.</w:t>
      </w:r>
    </w:p>
    <w:p>
      <w:r>
        <w:rPr>
          <w:sz w:val="22"/>
        </w:rPr>
        <w:t>The fourth step is escalation support. Sometimes, despite all efforts, an agency simply refuses to cooperate. In these cases, I document the situation, the impact on the consolidation timeline and the risks, and escalate to the Innovation Agency leadership or the relevant government authority. Political mandate is sometimes necessary, but it should always be the last resort, not the first approach.</w:t>
      </w:r>
    </w:p>
    <w:p>
      <w:r>
        <w:rPr>
          <w:sz w:val="22"/>
        </w:rPr>
        <w:t>I have direct experience with multi-agency coordination from my work at the Central Bank, where I coordinated the integration of ten-plus government organizations into the Government Payment Portal. Each organization had its own systems, its own priorities and its own concerns. My approach was always to listen first, then find the mutual benefit, then plan the transition carefully.</w:t>
      </w:r>
    </w:p>
    <w:p>
      <w:r>
        <w:rPr>
          <w:b/>
          <w:sz w:val="22"/>
        </w:rPr>
        <w:t xml:space="preserve">Q56  </w:t>
      </w:r>
      <w:r>
        <w:rPr>
          <w:sz w:val="22"/>
        </w:rPr>
        <w:t>What is a common data model, and why is it needed when multiple agencies share data through MyGov?</w:t>
      </w:r>
    </w:p>
    <w:p>
      <w:r>
        <w:rPr>
          <w:sz w:val="22"/>
        </w:rPr>
        <w:t>A common data model is a standardized way of organizing and representing data that all agencies agree to use when they exchange information through the MyGov platform. It is like a shared language for data.</w:t>
      </w:r>
    </w:p>
    <w:p>
      <w:r>
        <w:rPr>
          <w:sz w:val="22"/>
        </w:rPr>
        <w:t>Let me explain the problem first. Every government agency has its own way of storing and naming data. One agency might call a citizen address field 'citizen_address', another might call it 'residence_location', and a third might split it into 'street_name', 'house_number' and 'city' as separate fields. When these agencies need to exchange data, these differences cause confusion, errors and integration failures.</w:t>
      </w:r>
    </w:p>
    <w:p>
      <w:r>
        <w:rPr>
          <w:sz w:val="22"/>
        </w:rPr>
        <w:t>The common data model solves this problem by defining standard field names, standard data types, standard formats and standard code lists that all agencies must follow when exchanging data through MyGov. For example, the common data model defines that every citizen record must have a field called 'address_line_1' in text format, a field called 'postal_code' in five-digit format, and so on.</w:t>
      </w:r>
    </w:p>
    <w:p>
      <w:r>
        <w:rPr>
          <w:sz w:val="22"/>
        </w:rPr>
        <w:t>For a Business Analyst, creating and maintaining the common data model is a significant part of the job. I need to analyze the data structures of each agency, identify the common elements, resolve conflicts and agree on a standard format with all stakeholders. This requires many workshops with agency IT teams and data architects.</w:t>
      </w:r>
    </w:p>
    <w:p>
      <w:r>
        <w:rPr>
          <w:sz w:val="22"/>
        </w:rPr>
        <w:t>The common data model is especially important for MyGov because the platform needs to display data from multiple agencies in a unified way to the citizen. When a citizen logs into MyGov and sees their profile, they expect to see their information correctly formatted and consistent, regardless of which agency provided the data. The common data model makes this possible.</w:t>
      </w:r>
    </w:p>
    <w:p>
      <w:r>
        <w:rPr>
          <w:sz w:val="22"/>
        </w:rPr>
        <w:t>My experience at ASAN Service and the Central Bank prepared me well for this work. At the Government Payment Portal, I defined data exchange requirements and integration specifications for each agency, which required understanding each agency's data model and creating a standardized format for cross-system data exchange. This is essentially what a common data model does at a larger scale for the MyGov platform.</w:t>
      </w:r>
    </w:p>
    <w:p>
      <w:r>
        <w:rPr>
          <w:b/>
          <w:sz w:val="22"/>
        </w:rPr>
        <w:t xml:space="preserve">Q57  </w:t>
      </w:r>
      <w:r>
        <w:rPr>
          <w:sz w:val="22"/>
        </w:rPr>
        <w:t>You are invited to the interview. In the first few minutes, what should you say so that the interviewers decide internally that you are exactly the person they are looking for?</w:t>
      </w:r>
    </w:p>
    <w:p>
      <w:r>
        <w:rPr>
          <w:sz w:val="22"/>
        </w:rPr>
        <w:t>This is a very important question, and the answer is not about giving a perfect speech. It is about showing three things in the first few minutes: you understand their mission, you have the right experience, and you think the way they think.</w:t>
      </w:r>
    </w:p>
    <w:p>
      <w:r>
        <w:rPr>
          <w:sz w:val="22"/>
        </w:rPr>
        <w:t>Let me start with what you should NOT do. Do not start with your full life story. Do not start by listing all your skills one by one. Do not start by talking about what you want from them. These are common mistakes. The interviewers have read your CV already. They know your skills. In the first few minutes, they are not looking for information. They are looking for a feeling. They want to feel that you are the right person.</w:t>
      </w:r>
    </w:p>
    <w:p>
      <w:r>
        <w:rPr>
          <w:sz w:val="22"/>
        </w:rPr>
        <w:t>Here is what I would say in the first two to three minutes. I would say something like this.</w:t>
      </w:r>
    </w:p>
    <w:p>
      <w:r>
        <w:rPr>
          <w:sz w:val="22"/>
        </w:rPr>
        <w:t>Thank you for the opportunity. Before we start, I want to share why this position is important to me. The Innovation Agency has a clear mission: consolidate government services into MyGov so that citizens can access everything from one place. I understand this is not just a technical project. It is a national transformation project.</w:t>
      </w:r>
    </w:p>
    <w:p>
      <w:r>
        <w:rPr>
          <w:sz w:val="22"/>
        </w:rPr>
        <w:t>I know this because I have done similar work. At the Central Bank, I coordinated the integration of ten-plus government organizations into the Government Payment Portal. That was also about bringing multiple agencies into one platform. I defined the data exchange requirements, I designed the interoperability layer, and I worked directly with each agency to make it happen. So when I read about this position, I immediately understood the challenge because I have lived it.</w:t>
      </w:r>
    </w:p>
    <w:p>
      <w:r>
        <w:rPr>
          <w:sz w:val="22"/>
        </w:rPr>
        <w:t>What I bring to this role is not just BA skills. Many candidates have BA skills. What I bring is experience in the hardest part of this project: multi-agency coordination. I know how to sit with an agency that does not want to change, listen to their concerns, and find a solution that works for everyone. I know how to design an interoperability layer so that different systems can talk to each other. I know how to prioritize which services migrate first and which ones wait.</w:t>
      </w:r>
    </w:p>
    <w:p>
      <w:r>
        <w:rPr>
          <w:sz w:val="22"/>
        </w:rPr>
        <w:t>So I am here because I believe I can help the Innovation Agency deliver this project successfully. And I am excited to bring both my technical BA skills and my government coordination experience to this team.</w:t>
      </w:r>
    </w:p>
    <w:p>
      <w:r>
        <w:rPr>
          <w:sz w:val="22"/>
        </w:rPr>
        <w:t>Let me explain why this opening works. First, it shows that you understand their mission. You did not say 'I want this job.' You said 'I understand your mission.' This tells them you did your research. Second, it connects your past experience directly to their current challenge. You are not hoping they will figure out the connection. You are making the connection for them. Central Bank, ten-plus agencies, one platform, interoperability layer. These are the exact words they need to hear.</w:t>
      </w:r>
    </w:p>
    <w:p>
      <w:r>
        <w:rPr>
          <w:sz w:val="22"/>
        </w:rPr>
        <w:t>Third, it shows self-awareness. You said 'many candidates have BA skills, what I bring is multi-agency coordination experience.' This tells them you know what makes you different. You are not trying to be good at everything. You are showing them your strongest point clearly and honestly.</w:t>
      </w:r>
    </w:p>
    <w:p>
      <w:r>
        <w:rPr>
          <w:sz w:val="22"/>
        </w:rPr>
        <w:t>Fourth, it is not too long. Two to three minutes is the right length. If you talk for five minutes, they will stop listening. If you talk for thirty seconds, they will think you have nothing to say. Two to three minutes gives you enough time to make your point without losing their attention.</w:t>
      </w:r>
    </w:p>
    <w:p>
      <w:r>
        <w:rPr>
          <w:sz w:val="22"/>
        </w:rPr>
        <w:t>Now, let me also tell you what happens after this opening. The interviewers will likely respond in one of two ways. They might say 'Tell us more about the Central Bank project.' If they say this, it means your opening worked. They are interested. You should be ready to talk about the Central Bank experience in detail: which agencies you worked with, what problems you faced, how you solved them and what the results were.</w:t>
      </w:r>
    </w:p>
    <w:p>
      <w:r>
        <w:rPr>
          <w:sz w:val="22"/>
        </w:rPr>
        <w:t>Or they might say 'How would you handle the MyGov consolidation differently from the Central Bank project?' This is an even better response, because it means they are already thinking about you in the role. If they ask this, you should say: 'The approach would be similar but at a larger scale. The Central Bank project involved ten-plus organizations. MyGov could involve fifty or more. So the prioritization framework and the agency engagement strategy would need to be more structured. But the core challenge is the same: get different agencies to work together, design the interoperability layer, and deliver services that citizens can actually use.'</w:t>
      </w:r>
    </w:p>
    <w:p>
      <w:r>
        <w:rPr>
          <w:sz w:val="22"/>
        </w:rPr>
        <w:t>One more important thing. Your body language in the first few minutes matters as much as your words. Sit up straight, make eye contact with all interviewers, not just the one who is speaking, and smile. When you talk about the Central Bank experience, speak with confidence because you are talking about something real that you actually did. Do not use a memorized tone. Speak naturally, as if you are having a conversation with a colleague, not reciting a speech.</w:t>
      </w:r>
    </w:p>
    <w:p>
      <w:r>
        <w:rPr>
          <w:sz w:val="22"/>
        </w:rPr>
        <w:t>So the formula is: understand their mission, connect your experience directly, show your strongest point, keep it short, and speak naturally. If you do these five things in the first two to three minutes, the interviewers will feel that you are the right person, and the rest of the interview will be much easier for you.</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