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p>
      <w:pPr>
        <w:spacing w:before="480" w:after="240"/>
        <w:pBdr>
          <w:bottom w:val="single" w:sz="4" w:space="1" w:color="005A9C"/>
        </w:pBdr>
      </w:pPr>
    </w:p>
    <w:p>
      <w:pPr>
        <w:spacing w:after="240"/>
      </w:pPr>
      <w:r>
        <w:rPr>
          <w:rFonts w:ascii="Calibri" w:hAnsi="Calibri"/>
          <w:b/>
          <w:color w:val="005A9C"/>
          <w:sz w:val="26"/>
        </w:rPr>
        <w:t>Terms of Reference (ToR) and Service Design Document (SDD) - LMAS Project</w:t>
      </w:r>
    </w:p>
    <w:p>
      <w:pPr>
        <w:spacing w:before="360" w:after="80" w:line="280" w:lineRule="exact"/>
        <w:pBdr>
          <w:bottom w:val="single" w:sz="1" w:space="1" w:color="DDDDDD"/>
        </w:pBdr>
      </w:pPr>
      <w:r>
        <w:rPr>
          <w:rFonts w:ascii="Calibri" w:hAnsi="Calibri"/>
          <w:b/>
          <w:color w:val="1A1A1A"/>
          <w:sz w:val="22"/>
        </w:rPr>
        <w:t>Q42</w:t>
      </w:r>
      <w:r>
        <w:rPr>
          <w:rFonts w:ascii="Calibri" w:hAnsi="Calibri"/>
          <w:color w:val="1A1A1A"/>
          <w:sz w:val="22"/>
        </w:rPr>
        <w:t xml:space="preserve">  In a BA project, you already have a BRD that describes the business requirements and scope. Why do you need a separate Terms of Reference document? What does the ToR cover that the BRD does not?</w:t>
      </w:r>
    </w:p>
    <w:p>
      <w:pPr>
        <w:spacing w:after="120" w:line="280" w:lineRule="exact"/>
      </w:pPr>
      <w:r>
        <w:rPr>
          <w:rFonts w:ascii="Calibri" w:hAnsi="Calibri"/>
          <w:color w:val="2C2C2C"/>
          <w:sz w:val="22"/>
        </w:rPr>
        <w:t>This is a very practical question, and the answer explains a common confusion. The BRD and the ToR serve completely different purposes, and you need both.</w:t>
      </w:r>
    </w:p>
    <w:p>
      <w:pPr>
        <w:spacing w:after="120" w:line="280" w:lineRule="exact"/>
      </w:pPr>
      <w:r>
        <w:rPr>
          <w:rFonts w:ascii="Calibri" w:hAnsi="Calibri"/>
          <w:color w:val="2C2C2C"/>
          <w:sz w:val="22"/>
        </w:rPr>
        <w:t>The BRD answers the question: "What does the business need?" It describes the business goals, the stakeholder requirements, the functional and non-functional requirements, and the success criteria. The BRD is written from the business perspective. When you read a BRD, you understand what problem we are solving and what the expected outcome looks like.</w:t>
      </w:r>
    </w:p>
    <w:p>
      <w:pPr>
        <w:spacing w:after="120" w:line="280" w:lineRule="exact"/>
      </w:pPr>
      <w:r>
        <w:rPr>
          <w:rFonts w:ascii="Calibri" w:hAnsi="Calibri"/>
          <w:color w:val="2C2C2C"/>
          <w:sz w:val="22"/>
        </w:rPr>
        <w:t>The ToR answers a different question: "How will this project be organized and governed?" The ToR defines the project boundaries, who is responsible for what, what the timeline is, what the governance structure looks like, and what the constraints are. The ToR is written from the project management perspective.</w:t>
      </w:r>
    </w:p>
    <w:p>
      <w:pPr>
        <w:spacing w:after="120" w:line="280" w:lineRule="exact"/>
      </w:pPr>
      <w:r>
        <w:rPr>
          <w:rFonts w:ascii="Calibri" w:hAnsi="Calibri"/>
          <w:color w:val="2C2C2C"/>
          <w:sz w:val="22"/>
        </w:rPr>
        <w:t>Let me give you a concrete example. In the LMAS project for the State Employment Agency, the BRD says: "Citizens must be able to submit employment service applications through digital channels." This is a business requirement. The ToR says: "The BA Lead is responsible for writing the FRD by the end of Phase 2, and the Product Owner must approve it before development starts." This is a project governance rule.</w:t>
      </w:r>
    </w:p>
    <w:p>
      <w:pPr>
        <w:spacing w:after="120" w:line="280" w:lineRule="exact"/>
      </w:pPr>
      <w:r>
        <w:rPr>
          <w:rFonts w:ascii="Calibri" w:hAnsi="Calibri"/>
          <w:color w:val="2C2C2C"/>
          <w:sz w:val="22"/>
        </w:rPr>
        <w:t>Here is a simple way to think about it. The BRD defines the "what" and the "why." The ToR defines the "who, when and how." Without a BRD, the team does not know what to build. Without a ToR, the team does not know who decides what, when things are due, and how decisions are made.</w:t>
      </w:r>
    </w:p>
    <w:p>
      <w:pPr>
        <w:spacing w:after="120" w:line="280" w:lineRule="exact"/>
      </w:pPr>
      <w:r>
        <w:rPr>
          <w:rFonts w:ascii="Calibri" w:hAnsi="Calibri"/>
          <w:color w:val="2C2C2C"/>
          <w:sz w:val="22"/>
        </w:rPr>
        <w:t>In government projects like LMAS, the ToR is especially important because multiple government organizations are involved. The ToR makes it clear which agency provides data, who approves requirements, who signs off on deliverables and how disagreements are resolved. Without this clarity, a multi-agency project can easily get stuck.</w:t>
      </w:r>
    </w:p>
    <w:p>
      <w:pPr>
        <w:spacing w:before="360" w:after="80" w:line="280" w:lineRule="exact"/>
        <w:pBdr>
          <w:bottom w:val="single" w:sz="1" w:space="1" w:color="DDDDDD"/>
        </w:pBdr>
      </w:pPr>
      <w:r>
        <w:rPr>
          <w:rFonts w:ascii="Calibri" w:hAnsi="Calibri"/>
          <w:b/>
          <w:color w:val="1A1A1A"/>
          <w:sz w:val="22"/>
        </w:rPr>
        <w:t>Q43</w:t>
      </w:r>
      <w:r>
        <w:rPr>
          <w:rFonts w:ascii="Calibri" w:hAnsi="Calibri"/>
          <w:color w:val="1A1A1A"/>
          <w:sz w:val="22"/>
        </w:rPr>
        <w:t xml:space="preserve">  What is the correct structure of a Terms of Reference? What sections should it contain and in what order?</w:t>
      </w:r>
    </w:p>
    <w:p>
      <w:pPr>
        <w:spacing w:after="120" w:line="280" w:lineRule="exact"/>
      </w:pPr>
      <w:r>
        <w:rPr>
          <w:rFonts w:ascii="Calibri" w:hAnsi="Calibri"/>
          <w:color w:val="2C2C2C"/>
          <w:sz w:val="22"/>
        </w:rPr>
        <w:t>A ToR has a standard structure that most government and enterprise projects follow. In my LMAS ToR, I used ten main sections. Let me walk through each one.</w:t>
      </w:r>
    </w:p>
    <w:p>
      <w:pPr>
        <w:spacing w:after="120" w:line="280" w:lineRule="exact"/>
      </w:pPr>
      <w:r>
        <w:rPr>
          <w:rFonts w:ascii="Calibri" w:hAnsi="Calibri"/>
          <w:color w:val="2C2C2C"/>
          <w:sz w:val="22"/>
        </w:rPr>
        <w:t>Section 1 is Introduction. This includes the document purpose, the background of why the project exists, and definitions of abbreviations. The introduction sets the context for everyone who reads the document. It answers: why are we doing this project?</w:t>
      </w:r>
    </w:p>
    <w:p>
      <w:pPr>
        <w:spacing w:after="120" w:line="280" w:lineRule="exact"/>
      </w:pPr>
      <w:r>
        <w:rPr>
          <w:rFonts w:ascii="Calibri" w:hAnsi="Calibri"/>
          <w:color w:val="2C2C2C"/>
          <w:sz w:val="22"/>
        </w:rPr>
        <w:t>Section 2 is Project Objectives. This is where you define the strategic goal and the specific measurable objectives. Each objective has an ID, a name and a description. For example, OBJ-05 in my LMAS ToR says: "Reduce average service processing time from 14 calendar days to 5 business days." You also include success criteria with specific targets here.</w:t>
      </w:r>
    </w:p>
    <w:p>
      <w:pPr>
        <w:spacing w:after="120" w:line="280" w:lineRule="exact"/>
      </w:pPr>
      <w:r>
        <w:rPr>
          <w:rFonts w:ascii="Calibri" w:hAnsi="Calibri"/>
          <w:color w:val="2C2C2C"/>
          <w:sz w:val="22"/>
        </w:rPr>
        <w:t>Section 3 is Project Scope. This is one of the most important sections. It has four parts: in-scope items, out-of-scope items, assumptions and constraints. The in-scope list defines what the project will deliver. The out-of-scope list is equally important because it prevents scope creep. Assumptions are things you believe to be true but have not verified yet. Constraints are limitations you cannot change, like budget limits or regulatory requirements.</w:t>
      </w:r>
    </w:p>
    <w:p>
      <w:pPr>
        <w:spacing w:after="120" w:line="280" w:lineRule="exact"/>
      </w:pPr>
      <w:r>
        <w:rPr>
          <w:rFonts w:ascii="Calibri" w:hAnsi="Calibri"/>
          <w:color w:val="2C2C2C"/>
          <w:sz w:val="22"/>
        </w:rPr>
        <w:t>Section 4 is Deliverables. This is a complete list of every document, system and report that the project will produce. Each deliverable has an ID, a description, the phase when it is due and the person responsible. In my ToR, I listed 14 deliverables: 8 business analysis deliverables like ToR, BRD, SDD, FRD, SRS, API Specifications, BPMN models and UAT Plan, and 6 technical deliverables like the system architecture, database schema, Telegram bot and web portal.</w:t>
      </w:r>
    </w:p>
    <w:p>
      <w:pPr>
        <w:spacing w:after="120" w:line="280" w:lineRule="exact"/>
      </w:pPr>
      <w:r>
        <w:rPr>
          <w:rFonts w:ascii="Calibri" w:hAnsi="Calibri"/>
          <w:color w:val="2C2C2C"/>
          <w:sz w:val="22"/>
        </w:rPr>
        <w:t>Section 5 is Project Timeline. This shows the phased approach with milestones. In my LMAS ToR, I defined 4 phases across 12 months with 8 key milestones. Each milestone has a date and a description of what "done" looks like.</w:t>
      </w:r>
    </w:p>
    <w:p>
      <w:pPr>
        <w:spacing w:after="120" w:line="280" w:lineRule="exact"/>
      </w:pPr>
      <w:r>
        <w:rPr>
          <w:rFonts w:ascii="Calibri" w:hAnsi="Calibri"/>
          <w:color w:val="2C2C2C"/>
          <w:sz w:val="22"/>
        </w:rPr>
        <w:t>Section 6 is Team Structure and Roles. This defines every role in the project, which organization they come from and what their responsibilities are. It also includes the governance structure: steering committee meetings, sprint reviews and stakeholder syncs with defined frequency and participants.</w:t>
      </w:r>
    </w:p>
    <w:p>
      <w:pPr>
        <w:spacing w:after="120" w:line="280" w:lineRule="exact"/>
      </w:pPr>
      <w:r>
        <w:rPr>
          <w:rFonts w:ascii="Calibri" w:hAnsi="Calibri"/>
          <w:color w:val="2C2C2C"/>
          <w:sz w:val="22"/>
        </w:rPr>
        <w:t>Section 7 is Stakeholder Communication. This is a detailed communication plan that says who you communicate with, through what channel, how often and about what topics. For example, "Steering Committee meets monthly to review project status, risks and budget."</w:t>
      </w:r>
    </w:p>
    <w:p>
      <w:pPr>
        <w:spacing w:after="120" w:line="280" w:lineRule="exact"/>
      </w:pPr>
      <w:r>
        <w:rPr>
          <w:rFonts w:ascii="Calibri" w:hAnsi="Calibri"/>
          <w:color w:val="2C2C2C"/>
          <w:sz w:val="22"/>
        </w:rPr>
        <w:t>Section 8 is Risk Management. This includes a risk register with probability, impact and mitigation for each risk, plus an escalation path for when risks become critical issues.</w:t>
      </w:r>
    </w:p>
    <w:p>
      <w:pPr>
        <w:spacing w:after="120" w:line="280" w:lineRule="exact"/>
      </w:pPr>
      <w:r>
        <w:rPr>
          <w:rFonts w:ascii="Calibri" w:hAnsi="Calibri"/>
          <w:color w:val="2C2C2C"/>
          <w:sz w:val="22"/>
        </w:rPr>
        <w:t>Section 9 is Quality Standards. This defines documentation standards, development standards and acceptance criteria for deliverables.</w:t>
      </w:r>
    </w:p>
    <w:p>
      <w:pPr>
        <w:spacing w:after="120" w:line="280" w:lineRule="exact"/>
      </w:pPr>
      <w:r>
        <w:rPr>
          <w:rFonts w:ascii="Calibri" w:hAnsi="Calibri"/>
          <w:color w:val="2C2C2C"/>
          <w:sz w:val="22"/>
        </w:rPr>
        <w:t>Section 10 is Approval. This includes a signature table where each stakeholder signs to confirm their agreement with the ToR, plus a revision history table.</w:t>
      </w:r>
    </w:p>
    <w:p>
      <w:pPr>
        <w:spacing w:before="360" w:after="80" w:line="280" w:lineRule="exact"/>
        <w:pBdr>
          <w:bottom w:val="single" w:sz="1" w:space="1" w:color="DDDDDD"/>
        </w:pBdr>
      </w:pPr>
      <w:r>
        <w:rPr>
          <w:rFonts w:ascii="Calibri" w:hAnsi="Calibri"/>
          <w:b/>
          <w:color w:val="1A1A1A"/>
          <w:sz w:val="22"/>
        </w:rPr>
        <w:t>Q44</w:t>
      </w:r>
      <w:r>
        <w:rPr>
          <w:rFonts w:ascii="Calibri" w:hAnsi="Calibri"/>
          <w:color w:val="1A1A1A"/>
          <w:sz w:val="22"/>
        </w:rPr>
        <w:t xml:space="preserve">  You already have a BRD that covers business requirements and scope. You also have a Gap Analysis that covers As-Is and To-Be processes. Why do you need a separate Service Design Document? What does the SDD cover that the BRD and Gap Analysis do not?</w:t>
      </w:r>
    </w:p>
    <w:p>
      <w:pPr>
        <w:spacing w:after="120" w:line="280" w:lineRule="exact"/>
      </w:pPr>
      <w:r>
        <w:rPr>
          <w:rFonts w:ascii="Calibri" w:hAnsi="Calibri"/>
          <w:color w:val="2C2C2C"/>
          <w:sz w:val="22"/>
        </w:rPr>
        <w:t>This is the most important question about the SDD, because it is the document that people understand the least. Let me explain the difference clearly.</w:t>
      </w:r>
    </w:p>
    <w:p>
      <w:pPr>
        <w:spacing w:after="120" w:line="280" w:lineRule="exact"/>
      </w:pPr>
      <w:r>
        <w:rPr>
          <w:rFonts w:ascii="Calibri" w:hAnsi="Calibri"/>
          <w:color w:val="2C2C2C"/>
          <w:sz w:val="22"/>
        </w:rPr>
        <w:t>The BRD answers: "What does the business need?" It talks about business goals, stakeholders, scope and requirements. The Gap Analysis answers: "What is wrong with the current process and what should the future process look like?" It shows the As-Is state and the To-Be state at the process level.</w:t>
      </w:r>
    </w:p>
    <w:p>
      <w:pPr>
        <w:spacing w:after="120" w:line="280" w:lineRule="exact"/>
      </w:pPr>
      <w:r>
        <w:rPr>
          <w:rFonts w:ascii="Calibri" w:hAnsi="Calibri"/>
          <w:color w:val="2C2C2C"/>
          <w:sz w:val="22"/>
        </w:rPr>
        <w:t>The SDD answers a completely different question: "How should the citizen experience this service from start to finish?" The SDD takes the citizen perspective and designs the complete service experience, not just the process or the requirements.</w:t>
      </w:r>
    </w:p>
    <w:p>
      <w:pPr>
        <w:spacing w:after="120" w:line="280" w:lineRule="exact"/>
      </w:pPr>
      <w:r>
        <w:rPr>
          <w:rFonts w:ascii="Calibri" w:hAnsi="Calibri"/>
          <w:color w:val="2C2C2C"/>
          <w:sz w:val="22"/>
        </w:rPr>
        <w:t>Let me explain with the LMAS example. The BRD says: "The system shall allow citizens to submit employment service applications through digital channels." The Gap Analysis shows the As-Is process: citizen visits office, waits in queue, submits paper form. And the To-Be process: citizen opens Telegram bot, fills digital form, system validates data automatically.</w:t>
      </w:r>
    </w:p>
    <w:p>
      <w:pPr>
        <w:spacing w:after="120" w:line="280" w:lineRule="exact"/>
      </w:pPr>
      <w:r>
        <w:rPr>
          <w:rFonts w:ascii="Calibri" w:hAnsi="Calibri"/>
          <w:color w:val="2C2C2C"/>
          <w:sz w:val="22"/>
        </w:rPr>
        <w:t>But none of these documents answer the following questions: Who is the citizen using this service? What is their life situation? What are their pain points? What channels do they prefer? What happens at each interaction point? How do multiple government agencies coordinate behind the scenes to deliver this service? What SLA targets should we set? How do we measure if the service is good?</w:t>
      </w:r>
    </w:p>
    <w:p>
      <w:pPr>
        <w:spacing w:after="120" w:line="280" w:lineRule="exact"/>
      </w:pPr>
      <w:r>
        <w:rPr>
          <w:rFonts w:ascii="Calibri" w:hAnsi="Calibri"/>
          <w:color w:val="2C2C2C"/>
          <w:sz w:val="22"/>
        </w:rPr>
        <w:t>These are exactly the questions the SDD answers. The SDD has several unique sections that do not exist in the BRD or Gap Analysis.</w:t>
      </w:r>
    </w:p>
    <w:p>
      <w:pPr>
        <w:spacing w:after="120" w:line="280" w:lineRule="exact"/>
      </w:pPr>
      <w:r>
        <w:rPr>
          <w:rFonts w:ascii="Calibri" w:hAnsi="Calibri"/>
          <w:color w:val="2C2C2C"/>
          <w:sz w:val="22"/>
        </w:rPr>
        <w:t>First, User Research and Personas. The SDD starts by defining who the users are. In my LMAS SDD, I created three personas: a young job seeker who is comfortable with technology, a mid-career worker who recently lost their job and needs guidance, and an employer who wants to post vacancies online. The BRD mentions stakeholders, but it does not go deep into user profiles and behavioral patterns.</w:t>
      </w:r>
    </w:p>
    <w:p>
      <w:pPr>
        <w:spacing w:after="120" w:line="280" w:lineRule="exact"/>
      </w:pPr>
      <w:r>
        <w:rPr>
          <w:rFonts w:ascii="Calibri" w:hAnsi="Calibri"/>
          <w:color w:val="2C2C2C"/>
          <w:sz w:val="22"/>
        </w:rPr>
        <w:t>Second, Service Journey Analysis. The Gap Analysis shows the As-Is and To-Be processes, but the SDD goes deeper. It maps the complete citizen journey including emotional states, pain points at each stage and improvement opportunities. The journey analysis is more detailed because it includes the citizen experience, not just the process steps.</w:t>
      </w:r>
    </w:p>
    <w:p>
      <w:pPr>
        <w:spacing w:after="120" w:line="280" w:lineRule="exact"/>
      </w:pPr>
      <w:r>
        <w:rPr>
          <w:rFonts w:ascii="Calibri" w:hAnsi="Calibri"/>
          <w:color w:val="2C2C2C"/>
          <w:sz w:val="22"/>
        </w:rPr>
        <w:t>Third, Service Blueprint. This is unique to the SDD. A service blueprint maps the relationship between what the citizen sees and what happens behind the scenes. It has five layers: physical evidence, citizen actions, front-stage activities, back-stage activities and support systems. Neither the BRD nor the Gap Analysis provides this multi-layer view.</w:t>
      </w:r>
    </w:p>
    <w:p>
      <w:pPr>
        <w:spacing w:after="120" w:line="280" w:lineRule="exact"/>
      </w:pPr>
      <w:r>
        <w:rPr>
          <w:rFonts w:ascii="Calibri" w:hAnsi="Calibri"/>
          <w:color w:val="2C2C2C"/>
          <w:sz w:val="22"/>
        </w:rPr>
        <w:t>Fourth, Service Channels and Touchpoints. The SDD defines which channels will be used (Telegram bot, web portal, ASAN Service centers) and what happens at each touchpoint. The BRD might mention channels, but the SDD designs the complete channel strategy with target volumes for each channel.</w:t>
      </w:r>
    </w:p>
    <w:p>
      <w:pPr>
        <w:spacing w:after="120" w:line="280" w:lineRule="exact"/>
      </w:pPr>
      <w:r>
        <w:rPr>
          <w:rFonts w:ascii="Calibri" w:hAnsi="Calibri"/>
          <w:color w:val="2C2C2C"/>
          <w:sz w:val="22"/>
        </w:rPr>
        <w:t>Fifth, Multi-Agency Coordination Model. For government services, this is critical. The SDD defines which agencies are involved, what data they provide, what their role is and how they coordinate. The BRD mentions stakeholders but does not design the coordination model.</w:t>
      </w:r>
    </w:p>
    <w:p>
      <w:pPr>
        <w:spacing w:after="120" w:line="280" w:lineRule="exact"/>
      </w:pPr>
      <w:r>
        <w:rPr>
          <w:rFonts w:ascii="Calibri" w:hAnsi="Calibri"/>
          <w:color w:val="2C2C2C"/>
          <w:sz w:val="22"/>
        </w:rPr>
        <w:t>Sixth, SLA and KPI Framework. The SDD defines specific service level agreements and key performance indicators with measurable targets. For example, SLA-03 says: "Application processing within 5 business days with 90% compliance." KPI-05 says: "Citizen satisfaction score of 4.0 out of 5.0." The BRD might mention success criteria, but the SDD creates a complete monitoring framework.</w:t>
      </w:r>
    </w:p>
    <w:p>
      <w:pPr>
        <w:spacing w:after="120" w:line="280" w:lineRule="exact"/>
      </w:pPr>
      <w:r>
        <w:rPr>
          <w:rFonts w:ascii="Calibri" w:hAnsi="Calibri"/>
          <w:color w:val="2C2C2C"/>
          <w:sz w:val="22"/>
        </w:rPr>
        <w:t>Seventh, Service Portfolio Alignment. The SDD checks how the new service fits into the existing portfolio of government services and ensures alignment with national digital government standards. This strategic alignment is not covered by the BRD or Gap Analysis.</w:t>
      </w:r>
    </w:p>
    <w:p>
      <w:pPr>
        <w:spacing w:after="120" w:line="280" w:lineRule="exact"/>
      </w:pPr>
      <w:r>
        <w:rPr>
          <w:rFonts w:ascii="Calibri" w:hAnsi="Calibri"/>
          <w:color w:val="2C2C2C"/>
          <w:sz w:val="22"/>
        </w:rPr>
        <w:t>So in summary: the BRD defines requirements, the Gap Analysis defines process improvements, and the SDD designs the complete citizen service experience including who uses it, how they experience it, what channels deliver it, how agencies coordinate, and how we measure success.</w:t>
      </w:r>
    </w:p>
    <w:p>
      <w:pPr>
        <w:spacing w:before="360" w:after="80" w:line="280" w:lineRule="exact"/>
        <w:pBdr>
          <w:bottom w:val="single" w:sz="1" w:space="1" w:color="DDDDDD"/>
        </w:pBdr>
      </w:pPr>
      <w:r>
        <w:rPr>
          <w:rFonts w:ascii="Calibri" w:hAnsi="Calibri"/>
          <w:b/>
          <w:color w:val="1A1A1A"/>
          <w:sz w:val="22"/>
        </w:rPr>
        <w:t>Q45</w:t>
      </w:r>
      <w:r>
        <w:rPr>
          <w:rFonts w:ascii="Calibri" w:hAnsi="Calibri"/>
          <w:color w:val="1A1A1A"/>
          <w:sz w:val="22"/>
        </w:rPr>
        <w:t xml:space="preserve">  What is the correct structure of a Service Design Document? What sections should it contain?</w:t>
      </w:r>
    </w:p>
    <w:p>
      <w:pPr>
        <w:spacing w:after="120" w:line="280" w:lineRule="exact"/>
      </w:pPr>
      <w:r>
        <w:rPr>
          <w:rFonts w:ascii="Calibri" w:hAnsi="Calibri"/>
          <w:color w:val="2C2C2C"/>
          <w:sz w:val="22"/>
        </w:rPr>
        <w:t>A Service Design Document follows a design thinking approach, not a traditional requirements approach. In my LMAS SDD, I used fifteen sections organized into four logical groups.</w:t>
      </w:r>
    </w:p>
    <w:p>
      <w:pPr>
        <w:spacing w:after="120" w:line="280" w:lineRule="exact"/>
      </w:pPr>
      <w:r>
        <w:rPr>
          <w:rFonts w:ascii="Calibri" w:hAnsi="Calibri"/>
          <w:color w:val="2C2C2C"/>
          <w:sz w:val="22"/>
        </w:rPr>
        <w:t>The first group is Discovery. This includes sections 1 through 4. Section 1 is Executive Summary, which gives a one-page overview of the entire service design for busy decision-makers. Section 2 is Service Vision and Objectives, which defines the long-term vision, strategic objectives and measurable success metrics. Section 3 is Service Context and Stakeholder Analysis, which maps all stakeholders, their roles and how you communicate with each group. Section 4 is User Research and Personas, which documents your research findings, key insights and three to five citizen personas with their needs, behaviors and pain points.</w:t>
      </w:r>
    </w:p>
    <w:p>
      <w:pPr>
        <w:spacing w:after="120" w:line="280" w:lineRule="exact"/>
      </w:pPr>
      <w:r>
        <w:rPr>
          <w:rFonts w:ascii="Calibri" w:hAnsi="Calibri"/>
          <w:color w:val="2C2C2C"/>
          <w:sz w:val="22"/>
        </w:rPr>
        <w:t>The second group is Design. This includes sections 5 through 9. Section 5 is As-Is Service Journey Analysis, which maps the current citizen journey stage by stage with pain points at each stage. Section 6 is To-Be Service Design, which describes the redesigned service journey with improvements at each stage and design principles that guide all decisions. Section 7 is Service Blueprint, which creates a five-layer view connecting citizen actions to front-stage, back-stage and support systems. Section 8 is Service Channels and Touchpoints, which defines the channel strategy and designs each interaction point. Section 9 is Multi-Agency Coordination Model, which defines how government agencies share data, their roles and the integration architecture.</w:t>
      </w:r>
    </w:p>
    <w:p>
      <w:pPr>
        <w:spacing w:after="120" w:line="280" w:lineRule="exact"/>
      </w:pPr>
      <w:r>
        <w:rPr>
          <w:rFonts w:ascii="Calibri" w:hAnsi="Calibri"/>
          <w:color w:val="2C2C2C"/>
          <w:sz w:val="22"/>
        </w:rPr>
        <w:t>The third group is Standards. This includes sections 10 through 12. Section 10 is Service Standards, which defines SLA targets for each service stage and KPI indicators with specific measurable targets. Section 11 is Service Portfolio Alignment, which checks how the service fits into the broader government service portfolio and national digital standards. Section 12 is Process Architecture, which defines the three levels of process design: strategic, tactical and operational.</w:t>
      </w:r>
    </w:p>
    <w:p>
      <w:pPr>
        <w:spacing w:after="120" w:line="280" w:lineRule="exact"/>
      </w:pPr>
      <w:r>
        <w:rPr>
          <w:rFonts w:ascii="Calibri" w:hAnsi="Calibri"/>
          <w:color w:val="2C2C2C"/>
          <w:sz w:val="22"/>
        </w:rPr>
        <w:t>The fourth group is Delivery. This includes sections 13 through 15. Section 13 is Implementation Roadmap, which plans the phased delivery approach with milestones and dependencies. Section 14 is Risks and Dependencies, which includes a risk register with mitigation strategies. Section 15 is Glossary, which defines all key terms used in the document.</w:t>
      </w:r>
    </w:p>
    <w:p>
      <w:pPr>
        <w:spacing w:after="120" w:line="280" w:lineRule="exact"/>
      </w:pPr>
      <w:r>
        <w:rPr>
          <w:rFonts w:ascii="Calibri" w:hAnsi="Calibri"/>
          <w:color w:val="2C2C2C"/>
          <w:sz w:val="22"/>
        </w:rPr>
        <w:t>One important thing to note: the SDD is not a technical document. It does not contain database schemas, API endpoints or code-level specifications. Those belong in the SRS and API Specification. The SDD is a design document that focuses on the citizen experience and service delivery model.</w:t>
      </w:r>
    </w:p>
    <w:p>
      <w:pPr>
        <w:spacing w:before="360" w:after="80" w:line="280" w:lineRule="exact"/>
        <w:pBdr>
          <w:bottom w:val="single" w:sz="1" w:space="1" w:color="DDDDDD"/>
        </w:pBdr>
      </w:pPr>
      <w:r>
        <w:rPr>
          <w:rFonts w:ascii="Calibri" w:hAnsi="Calibri"/>
          <w:b/>
          <w:color w:val="1A1A1A"/>
          <w:sz w:val="22"/>
        </w:rPr>
        <w:t>Q46</w:t>
      </w:r>
      <w:r>
        <w:rPr>
          <w:rFonts w:ascii="Calibri" w:hAnsi="Calibri"/>
          <w:color w:val="1A1A1A"/>
          <w:sz w:val="22"/>
        </w:rPr>
        <w:t xml:space="preserve">  You prepared both a ToR and an SDD for the LMAS project. How do these two documents relate to each other? Which one comes first and how do they connect?</w:t>
      </w:r>
    </w:p>
    <w:p>
      <w:pPr>
        <w:spacing w:after="120" w:line="280" w:lineRule="exact"/>
      </w:pPr>
      <w:r>
        <w:rPr>
          <w:rFonts w:ascii="Calibri" w:hAnsi="Calibri"/>
          <w:color w:val="2C2C2C"/>
          <w:sz w:val="22"/>
        </w:rPr>
        <w:t>The ToR comes first, and the SDD comes second. They have a parent-child relationship where the ToR sets the boundaries and the SDD fills in the design details.</w:t>
      </w:r>
    </w:p>
    <w:p>
      <w:pPr>
        <w:spacing w:after="120" w:line="280" w:lineRule="exact"/>
      </w:pPr>
      <w:r>
        <w:rPr>
          <w:rFonts w:ascii="Calibri" w:hAnsi="Calibri"/>
          <w:color w:val="2C2C2C"/>
          <w:sz w:val="22"/>
        </w:rPr>
        <w:t>Think of it like building a house. The ToR is like the building permit and the project plan. It says: we are building a three-bedroom house on this plot of land, with this budget, this timeline and these people responsible. It defines what you are allowed to build and how the project will be managed.</w:t>
      </w:r>
    </w:p>
    <w:p>
      <w:pPr>
        <w:spacing w:after="120" w:line="280" w:lineRule="exact"/>
      </w:pPr>
      <w:r>
        <w:rPr>
          <w:rFonts w:ascii="Calibri" w:hAnsi="Calibri"/>
          <w:color w:val="2C2C2C"/>
          <w:sz w:val="22"/>
        </w:rPr>
        <w:t>The SDD is like the architectural design. It says: the living room will be here, the kitchen will face east for morning sunlight, the entrance will have these features for wheelchair accessibility and the garden will be designed for family gatherings. It designs the experience of living in the house.</w:t>
      </w:r>
    </w:p>
    <w:p>
      <w:pPr>
        <w:spacing w:after="120" w:line="280" w:lineRule="exact"/>
      </w:pPr>
      <w:r>
        <w:rPr>
          <w:rFonts w:ascii="Calibri" w:hAnsi="Calibri"/>
          <w:color w:val="2C2C2C"/>
          <w:sz w:val="22"/>
        </w:rPr>
        <w:t>In the LMAS project, the ToR says: "OBJ-01: Enable citizens to submit employment service applications through digital channels." This is a project objective with scope and timeline. The SDD then designs how this actually works: which channels, what the citizen journey looks like, what touchpoints the citizen interacts with, what happens behind the scenes and how success is measured.</w:t>
      </w:r>
    </w:p>
    <w:p>
      <w:pPr>
        <w:spacing w:after="120" w:line="280" w:lineRule="exact"/>
      </w:pPr>
      <w:r>
        <w:rPr>
          <w:rFonts w:ascii="Calibri" w:hAnsi="Calibri"/>
          <w:color w:val="2C2C2C"/>
          <w:sz w:val="22"/>
        </w:rPr>
        <w:t>The ToR also defines the deliverables list. In my ToR, deliverable D-03 is the SDD itself. So the ToR creates the requirement to produce the SDD, defines who is responsible and sets the deadline. The SDD then fulfills this requirement.</w:t>
      </w:r>
    </w:p>
    <w:p>
      <w:pPr>
        <w:spacing w:after="120" w:line="280" w:lineRule="exact"/>
      </w:pPr>
      <w:r>
        <w:rPr>
          <w:rFonts w:ascii="Calibri" w:hAnsi="Calibri"/>
          <w:color w:val="2C2C2C"/>
          <w:sz w:val="22"/>
        </w:rPr>
        <w:t>Another connection is the scope. The ToR defines what is in-scope and out-of-scope. The SDD must stay within these boundaries. For example, my ToR says that a mobile native application is out of scope for Phase 1. So the SDD designs the service for Telegram bot and web portal only, not for a mobile app. If the SDD started designing a mobile app experience, that would be a scope violation.</w:t>
      </w:r>
    </w:p>
    <w:p>
      <w:pPr>
        <w:spacing w:after="120" w:line="280" w:lineRule="exact"/>
      </w:pPr>
      <w:r>
        <w:rPr>
          <w:rFonts w:ascii="Calibri" w:hAnsi="Calibri"/>
          <w:color w:val="2C2C2C"/>
          <w:sz w:val="22"/>
        </w:rPr>
        <w:t>The risk register in the ToR also connects to the SDD. For example, ToR risk R-03 says: "Low citizen adoption of digital channels." The SDD addresses this risk by designing a simplified onboarding experience in the citizen journey and by defining ASAN Service centers as a fallback channel for citizens who cannot use digital channels.</w:t>
      </w:r>
    </w:p>
    <w:p>
      <w:pPr>
        <w:spacing w:after="120" w:line="280" w:lineRule="exact"/>
      </w:pPr>
      <w:r>
        <w:rPr>
          <w:rFonts w:ascii="Calibri" w:hAnsi="Calibri"/>
          <w:color w:val="2C2C2C"/>
          <w:sz w:val="22"/>
        </w:rPr>
        <w:t>So the relationship is: ToR defines the project frame and governance. SDD designs the service within that frame. ToR is the first document you write. SDD comes after, and it must respect the scope, timeline and constraints defined in the ToR.</w:t>
      </w:r>
    </w:p>
    <w:p>
      <w:pPr>
        <w:spacing w:before="360" w:after="80" w:line="280" w:lineRule="exact"/>
        <w:pBdr>
          <w:bottom w:val="single" w:sz="1" w:space="1" w:color="DDDDDD"/>
        </w:pBdr>
      </w:pPr>
      <w:r>
        <w:rPr>
          <w:rFonts w:ascii="Calibri" w:hAnsi="Calibri"/>
          <w:b/>
          <w:color w:val="1A1A1A"/>
          <w:sz w:val="22"/>
        </w:rPr>
        <w:t>Q47</w:t>
      </w:r>
      <w:r>
        <w:rPr>
          <w:rFonts w:ascii="Calibri" w:hAnsi="Calibri"/>
          <w:color w:val="1A1A1A"/>
          <w:sz w:val="22"/>
        </w:rPr>
        <w:t xml:space="preserve">  You have prepared many BA documents: ToR, BRD, SDD, FRD, SRS, User Stories, API Specifications, BPMN models and UAT Plan. In what order do you prepare them and why?</w:t>
      </w:r>
    </w:p>
    <w:p>
      <w:pPr>
        <w:spacing w:after="120" w:line="280" w:lineRule="exact"/>
      </w:pPr>
      <w:r>
        <w:rPr>
          <w:rFonts w:ascii="Calibri" w:hAnsi="Calibri"/>
          <w:color w:val="2C2C2C"/>
          <w:sz w:val="22"/>
        </w:rPr>
        <w:t>There is a logical order, but in practice some documents overlap. Let me explain the ideal order and then how it works in reality.</w:t>
      </w:r>
    </w:p>
    <w:p>
      <w:pPr>
        <w:spacing w:after="120" w:line="280" w:lineRule="exact"/>
      </w:pPr>
      <w:r>
        <w:rPr>
          <w:rFonts w:ascii="Calibri" w:hAnsi="Calibri"/>
          <w:color w:val="2C2C2C"/>
          <w:sz w:val="22"/>
        </w:rPr>
        <w:t>The ideal order follows a waterfall approach within each phase. Phase 1 starts with the ToR, because you cannot start a project without defining the scope, objectives, governance and timeline. The ToR gets approved by the steering committee. Then you write the BRD, which defines the business requirements in detail. Then you write the SDD, which designs the service experience. Then you create BPMN models for the As-Is and To-Be processes. All of these happen in Phase 1.</w:t>
      </w:r>
    </w:p>
    <w:p>
      <w:pPr>
        <w:spacing w:after="120" w:line="280" w:lineRule="exact"/>
      </w:pPr>
      <w:r>
        <w:rPr>
          <w:rFonts w:ascii="Calibri" w:hAnsi="Calibri"/>
          <w:color w:val="2C2C2C"/>
          <w:sz w:val="22"/>
        </w:rPr>
        <w:t>Phase 2 is when you write the FRD, which converts business requirements into detailed functional requirements with user stories and acceptance criteria. Then you write the SRS, which adds technical system requirements. Then you write the API Specifications for all integrations. These happen in Phase 2.</w:t>
      </w:r>
    </w:p>
    <w:p>
      <w:pPr>
        <w:spacing w:after="120" w:line="280" w:lineRule="exact"/>
      </w:pPr>
      <w:r>
        <w:rPr>
          <w:rFonts w:ascii="Calibri" w:hAnsi="Calibri"/>
          <w:color w:val="2C2C2C"/>
          <w:sz w:val="22"/>
        </w:rPr>
        <w:t>Phase 3 is when you prepare the UAT Plan and execute testing with stakeholders.</w:t>
      </w:r>
    </w:p>
    <w:p>
      <w:pPr>
        <w:spacing w:after="120" w:line="280" w:lineRule="exact"/>
      </w:pPr>
      <w:r>
        <w:rPr>
          <w:rFonts w:ascii="Calibri" w:hAnsi="Calibri"/>
          <w:color w:val="2C2C2C"/>
          <w:sz w:val="22"/>
        </w:rPr>
        <w:t>So the ideal order is: ToR, BRD, SDD, BPMN, FRD, SRS, API Spec, UAT Plan.</w:t>
      </w:r>
    </w:p>
    <w:p>
      <w:pPr>
        <w:spacing w:after="120" w:line="280" w:lineRule="exact"/>
      </w:pPr>
      <w:r>
        <w:rPr>
          <w:rFonts w:ascii="Calibri" w:hAnsi="Calibri"/>
          <w:color w:val="2C2C2C"/>
          <w:sz w:val="22"/>
        </w:rPr>
        <w:t>But in reality, some documents are written in parallel. For example, I usually start the BRD and the SDD at the same time because they inform each other. When I write a BRD requirement like "citizens must be able to track application status," this influences the SDD service journey design. And when I design the citizen journey in the SDD, I often discover new requirements that need to go into the BRD. So I work on both documents and update them as I go.</w:t>
      </w:r>
    </w:p>
    <w:p>
      <w:pPr>
        <w:spacing w:after="120" w:line="280" w:lineRule="exact"/>
      </w:pPr>
      <w:r>
        <w:rPr>
          <w:rFonts w:ascii="Calibri" w:hAnsi="Calibri"/>
          <w:color w:val="2C2C2C"/>
          <w:sz w:val="22"/>
        </w:rPr>
        <w:t>The same is true for the FRD and SRS. The FRD defines the functional requirements, and the SRS adds the technical details. These two documents are closely connected, and I usually work on them together.</w:t>
      </w:r>
    </w:p>
    <w:p>
      <w:pPr>
        <w:spacing w:after="120" w:line="280" w:lineRule="exact"/>
      </w:pPr>
      <w:r>
        <w:rPr>
          <w:rFonts w:ascii="Calibri" w:hAnsi="Calibri"/>
          <w:color w:val="2C2C2C"/>
          <w:sz w:val="22"/>
        </w:rPr>
        <w:t>One important rule I follow: the ToR must be completed and approved first before any other document. The ToR defines the project boundaries, and if you start writing the BRD without an approved ToR, you risk writing requirements for things that are out of scope or missing things that are in scope.</w:t>
      </w:r>
    </w:p>
    <w:p>
      <w:pPr>
        <w:spacing w:after="120" w:line="280" w:lineRule="exact"/>
      </w:pPr>
      <w:r>
        <w:rPr>
          <w:rFonts w:ascii="Calibri" w:hAnsi="Calibri"/>
          <w:color w:val="2C2C2C"/>
          <w:sz w:val="22"/>
        </w:rPr>
        <w:t>Another rule: the UAT Plan is always the last document. You cannot plan testing until all requirements are defined and documented.</w:t>
      </w:r>
    </w:p>
    <w:p>
      <w:pPr>
        <w:spacing w:before="360" w:after="80" w:line="280" w:lineRule="exact"/>
        <w:pBdr>
          <w:bottom w:val="single" w:sz="1" w:space="1" w:color="DDDDDD"/>
        </w:pBdr>
      </w:pPr>
      <w:r>
        <w:rPr>
          <w:rFonts w:ascii="Calibri" w:hAnsi="Calibri"/>
          <w:b/>
          <w:color w:val="1A1A1A"/>
          <w:sz w:val="22"/>
        </w:rPr>
        <w:t>Q48</w:t>
      </w:r>
      <w:r>
        <w:rPr>
          <w:rFonts w:ascii="Calibri" w:hAnsi="Calibri"/>
          <w:color w:val="1A1A1A"/>
          <w:sz w:val="22"/>
        </w:rPr>
        <w:t xml:space="preserve">  The Innovation Agency uses Service Design methodology. How does your SDD document reflect Service Design methodology, and what Service Design tools and techniques did you use?</w:t>
      </w:r>
    </w:p>
    <w:p>
      <w:pPr>
        <w:spacing w:after="120" w:line="280" w:lineRule="exact"/>
      </w:pPr>
      <w:r>
        <w:rPr>
          <w:rFonts w:ascii="Calibri" w:hAnsi="Calibri"/>
          <w:color w:val="2C2C2C"/>
          <w:sz w:val="22"/>
        </w:rPr>
        <w:t>Service Design is a methodology that puts the citizen at the center of the design process. Instead of designing services from the institution perspective, you design them from the citizen perspective. My SDD uses several Service Design tools and techniques to apply this methodology.</w:t>
      </w:r>
    </w:p>
    <w:p>
      <w:pPr>
        <w:spacing w:after="120" w:line="280" w:lineRule="exact"/>
      </w:pPr>
      <w:r>
        <w:rPr>
          <w:rFonts w:ascii="Calibri" w:hAnsi="Calibri"/>
          <w:color w:val="2C2C2C"/>
          <w:sz w:val="22"/>
        </w:rPr>
        <w:t>The first tool is User Research. In Service Design, you always start with research before design. In my SDD, section 4 documents the user research I conducted: 12 stakeholder interviews and analysis of 200+ citizen feedback records. This research identified six key findings about citizen pain points, which directly influenced all design decisions.</w:t>
      </w:r>
    </w:p>
    <w:p>
      <w:pPr>
        <w:spacing w:after="120" w:line="280" w:lineRule="exact"/>
      </w:pPr>
      <w:r>
        <w:rPr>
          <w:rFonts w:ascii="Calibri" w:hAnsi="Calibri"/>
          <w:color w:val="2C2C2C"/>
          <w:sz w:val="22"/>
        </w:rPr>
        <w:t>The second tool is Personas. Personas are fictional characters that represent real user groups. They help the design team think about real people instead of abstract requirements. In my SDD, I created three personas based on the research data: a young job seeker, a mid-career worker and an employer. Each persona has specific needs, behaviors and pain points that the service design must address.</w:t>
      </w:r>
    </w:p>
    <w:p>
      <w:pPr>
        <w:spacing w:after="120" w:line="280" w:lineRule="exact"/>
      </w:pPr>
      <w:r>
        <w:rPr>
          <w:rFonts w:ascii="Calibri" w:hAnsi="Calibri"/>
          <w:color w:val="2C2C2C"/>
          <w:sz w:val="22"/>
        </w:rPr>
        <w:t>The third tool is Service Journey Mapping. This is one of the most important Service Design tools. A journey map shows every step a citizen takes from the moment they become aware of a service to the moment they receive the result. In my SDD, sections 5 and 6 contain the As-Is and To-Be journey maps. The As-Is map shows seven stages of the current process with pain points at each stage. The To-Be map shows the redesigned seven stages with specific improvements.</w:t>
      </w:r>
    </w:p>
    <w:p>
      <w:pPr>
        <w:spacing w:after="120" w:line="280" w:lineRule="exact"/>
      </w:pPr>
      <w:r>
        <w:rPr>
          <w:rFonts w:ascii="Calibri" w:hAnsi="Calibri"/>
          <w:color w:val="2C2C2C"/>
          <w:sz w:val="22"/>
        </w:rPr>
        <w:t>The fourth tool is Service Blueprinting. A service blueprint is like an x-ray of the service. It shows five layers: what the citizen sees (physical evidence), what the citizen does (actions), what happens in front of the citizen (front-stage), what happens behind the scenes (back-stage) and what systems support everything (support systems). In my SDD, section 7 contains the service blueprint that maps all five layers.</w:t>
      </w:r>
    </w:p>
    <w:p>
      <w:pPr>
        <w:spacing w:after="120" w:line="280" w:lineRule="exact"/>
      </w:pPr>
      <w:r>
        <w:rPr>
          <w:rFonts w:ascii="Calibri" w:hAnsi="Calibri"/>
          <w:color w:val="2C2C2C"/>
          <w:sz w:val="22"/>
        </w:rPr>
        <w:t>The fifth tool is Life-Event Based Design. This is a Service Design approach where services are organized around key life events instead of government departments. Instead of saying "these are the services the employment agency provides," you say "when a citizen loses their job, these are all the services they need." In my SDD, I applied this approach by designing the service around the life event of unemployment rather than around agency departments.</w:t>
      </w:r>
    </w:p>
    <w:p>
      <w:pPr>
        <w:spacing w:after="120" w:line="280" w:lineRule="exact"/>
      </w:pPr>
      <w:r>
        <w:rPr>
          <w:rFonts w:ascii="Calibri" w:hAnsi="Calibri"/>
          <w:color w:val="2C2C2C"/>
          <w:sz w:val="22"/>
        </w:rPr>
        <w:t>The sixth tool is Multi-Channel Design. Citizens should be able to access services through multiple channels: Telegram bot for quick interactions, web portal for complex tasks, ASAN centers for exceptional cases. My SDD section 8 designs the channel strategy with target volumes for each channel.</w:t>
      </w:r>
    </w:p>
    <w:p>
      <w:pPr>
        <w:spacing w:after="120" w:line="280" w:lineRule="exact"/>
      </w:pPr>
      <w:r>
        <w:rPr>
          <w:rFonts w:ascii="Calibri" w:hAnsi="Calibri"/>
          <w:color w:val="2C2C2C"/>
          <w:sz w:val="22"/>
        </w:rPr>
        <w:t>The seventh tool is SLA and KPI Design. Service Design is not only about designing the service but also about measuring its performance. My SDD section 10 defines six SLAs and seven KPIs with specific measurable targets. This is the "how do we know the design works" part of Service Design.</w:t>
      </w:r>
    </w:p>
    <w:p>
      <w:pPr>
        <w:spacing w:after="120" w:line="280" w:lineRule="exact"/>
      </w:pPr>
      <w:r>
        <w:rPr>
          <w:rFonts w:ascii="Calibri" w:hAnsi="Calibri"/>
          <w:color w:val="2C2C2C"/>
          <w:sz w:val="22"/>
        </w:rPr>
        <w:t>So my SDD is not just a document. It is the output of applying Service Design methodology to a real government service. Each section uses a specific Service Design tool to ensure the final service is citizen-centered, measurable and aligned across multiple agencies.</w:t>
      </w:r>
    </w:p>
    <w:p>
      <w:r>
        <w:rPr>
          <w:b/>
          <w:sz w:val="22"/>
        </w:rPr>
        <w:t xml:space="preserve">Q49  </w:t>
      </w:r>
      <w:r>
        <w:rPr>
          <w:sz w:val="22"/>
        </w:rPr>
        <w:t>The Innovation Agency wants to consolidate government services from individual agency applications into the MyGov platform. What does service consolidation mean for a Business Analyst, and what are the main challenges?</w:t>
      </w:r>
    </w:p>
    <w:p>
      <w:r>
        <w:rPr>
          <w:sz w:val="22"/>
        </w:rPr>
        <w:t>Service consolidation means bringing services that are currently delivered through separate agency platforms, such as the Azersu mobile app or the Ministry of Culture portal, into one unified platform called MyGov. Instead of a citizen downloading ten different apps for ten different services, they use one platform for all government services.</w:t>
      </w:r>
    </w:p>
    <w:p>
      <w:r>
        <w:rPr>
          <w:sz w:val="22"/>
        </w:rPr>
        <w:t>This concept is not new. The United Kingdom did this with GOV.UK, consolidating over 300 government websites into one portal. Estonia did it with e-Estonia, bringing all public services under a single digital platform. India did it with the UMANG app, integrating services from 120-plus central and state government departments. In each case, the BA played a central role in analyzing, planning and executing the consolidation.</w:t>
      </w:r>
    </w:p>
    <w:p>
      <w:r>
        <w:rPr>
          <w:sz w:val="22"/>
        </w:rPr>
        <w:t>For a Business Analyst, service consolidation involves several major activities. First, service inventory: you must catalog every service that each government agency currently provides digitally. This means meeting with every agency, understanding their service list, and documenting each service with its current process, delivery channel, backend system, data sources and user volume. Many agencies do not have a complete or up-to-date service catalog, so this step alone can take months.</w:t>
      </w:r>
    </w:p>
    <w:p>
      <w:r>
        <w:rPr>
          <w:sz w:val="22"/>
        </w:rPr>
        <w:t>Second, prioritization: you cannot migrate 500 services at once. You need a prioritization framework based on factors like citizen demand, technical complexity, agency readiness and strategic importance. High-volume, high-impact services with technically ready agencies should come first. This requires close coordination with agency leadership and the Innovation Agency steering committee.</w:t>
      </w:r>
    </w:p>
    <w:p>
      <w:r>
        <w:rPr>
          <w:sz w:val="22"/>
        </w:rPr>
        <w:t>Third, integration design: each agency has different backend systems, different data formats and different levels of technical maturity. The BA must define the interoperability requirements between MyGov and each agency system, including API standards, data exchange protocols, security requirements and authentication methods. Some agencies have modern REST APIs, while others still use legacy systems with no API at all.</w:t>
      </w:r>
    </w:p>
    <w:p>
      <w:r>
        <w:rPr>
          <w:sz w:val="22"/>
        </w:rPr>
        <w:t>The main challenges are both technical and organizational. On the technical side, legacy systems without APIs, inconsistent data models across agencies, and security concerns about cross-agency data exchange are the biggest obstacles. On the organizational side, agency resistance is the hardest challenge. Many agencies see their digital platforms as a symbol of their institutional identity and independence. Convincing them to migrate their services to MyGov requires strong political support, clear communication of benefits and sometimes formal government mandates.</w:t>
      </w:r>
    </w:p>
    <w:p>
      <w:r>
        <w:rPr>
          <w:b/>
          <w:sz w:val="22"/>
        </w:rPr>
        <w:t xml:space="preserve">Q50  </w:t>
      </w:r>
      <w:r>
        <w:rPr>
          <w:sz w:val="22"/>
        </w:rPr>
        <w:t>What is an interoperability layer, and why is it important for the MyGov platform?</w:t>
      </w:r>
    </w:p>
    <w:p>
      <w:r>
        <w:rPr>
          <w:sz w:val="22"/>
        </w:rPr>
        <w:t>An interoperability layer is a technical middleware that enables different systems to communicate with each other. Think of it as a universal translator. When Agency A speaks one technical language and Agency B speaks a different language, the interoperability layer sits between them and translates so they can exchange data seamlessly.</w:t>
      </w:r>
    </w:p>
    <w:p>
      <w:r>
        <w:rPr>
          <w:sz w:val="22"/>
        </w:rPr>
        <w:t>In the context of MyGov, the interoperability layer is the component that connects the MyGov front-end platform to the backend systems of all government agencies. When a citizen submits a service request through MyGov, the interoperability layer routes this request to the correct agency system, translates the data format, handles authentication and returns the response back to MyGov.</w:t>
      </w:r>
    </w:p>
    <w:p>
      <w:r>
        <w:rPr>
          <w:sz w:val="22"/>
        </w:rPr>
        <w:t>The most famous example of an interoperability layer in the world is X-Road in Estonia. X-Road connects over 900 organizations and handles more than one billion data exchange transactions per year. Every time a citizen accesses a government service in Estonia, X-Road coordinates the data exchange between the relevant agencies behind the scenes. The citizen does not see any of this complexity; they simply see a fast, seamless service experience.</w:t>
      </w:r>
    </w:p>
    <w:p>
      <w:r>
        <w:rPr>
          <w:sz w:val="22"/>
        </w:rPr>
        <w:t>As a Business Analyst, my role in the interoperability layer is not to build it, because that is the job of the technical architects and developers. My role is to define what the interoperability layer must do. This means documenting the data exchange requirements for each agency, defining the API standards and message formats, specifying the security and authentication rules, and describing the error handling and fallback procedures. I did similar work at the Central Bank when I coordinated the integration of ten-plus government organizations into the Government Payment Portal, where I defined data exchange requirements and integration specifications for each agency and designed the interoperability layer for cross-system data exchange.</w:t>
      </w:r>
    </w:p>
    <w:p>
      <w:r>
        <w:rPr>
          <w:b/>
          <w:sz w:val="22"/>
        </w:rPr>
        <w:t xml:space="preserve">Q51  </w:t>
      </w:r>
      <w:r>
        <w:rPr>
          <w:sz w:val="22"/>
        </w:rPr>
        <w:t>What does a registry-based approach mean in digital government, and how is it different from simply calling an API?</w:t>
      </w:r>
    </w:p>
    <w:p>
      <w:r>
        <w:rPr>
          <w:sz w:val="22"/>
        </w:rPr>
        <w:t>A registry-based approach means that government data is stored in centralized, authoritative databases called registries, and all government agencies access this data through the registries instead of maintaining their own copies. The registry is the single source of truth.</w:t>
      </w:r>
    </w:p>
    <w:p>
      <w:r>
        <w:rPr>
          <w:sz w:val="22"/>
        </w:rPr>
        <w:t>For example, in Azerbaijan, the citizen registry holds basic information about every citizen: name, address, family status and identification number. When a citizen applies for a service at any agency, the agency does not ask the citizen to provide copies of their ID or proof of address. Instead, the agency system queries the citizen registry through the interoperability layer and retrieves the data automatically.</w:t>
      </w:r>
    </w:p>
    <w:p>
      <w:r>
        <w:rPr>
          <w:sz w:val="22"/>
        </w:rPr>
        <w:t>This is fundamentally different from a simple API call. With a standard API, System A calls System B to get some data. System B owns the data and System A just borrows it. With a registry-based approach, the registry is the authoritative owner of that data, and no other system stores a permanent copy. Every time any agency needs that data, they access the registry in real time.</w:t>
      </w:r>
    </w:p>
    <w:p>
      <w:r>
        <w:rPr>
          <w:sz w:val="22"/>
        </w:rPr>
        <w:t>There are several important benefits. First, data consistency: because there is only one authoritative copy, there are no conflicts between different agency databases. Second, the once-only principle: citizens do not need to submit the same information multiple times to different agencies. Third, data governance: it is clear who owns the data, who can access it and under what conditions.</w:t>
      </w:r>
    </w:p>
    <w:p>
      <w:r>
        <w:rPr>
          <w:sz w:val="22"/>
        </w:rPr>
        <w:t>In practice, I worked with registry-based data exchange at ASAN Service, where citizen data from multiple government registries was accessed to deliver services without requiring citizens to bring paper documents. This experience is directly relevant to the MyGov platform, where the same registry-based approach will be used at a larger scale across all government services.</w:t>
      </w:r>
    </w:p>
    <w:p>
      <w:r>
        <w:rPr>
          <w:b/>
          <w:sz w:val="22"/>
        </w:rPr>
        <w:t xml:space="preserve">Q52  </w:t>
      </w:r>
      <w:r>
        <w:rPr>
          <w:sz w:val="22"/>
        </w:rPr>
        <w:t>What is the once-only principle in digital government, and how does it affect how you design services for MyGov?</w:t>
      </w:r>
    </w:p>
    <w:p>
      <w:r>
        <w:rPr>
          <w:sz w:val="22"/>
        </w:rPr>
        <w:t>The once-only principle is a fundamental rule of digital government that says: citizens and businesses should only have to provide the same information to the government once. If you already submitted your address to one agency, no other agency should ask you for your address again. They should retrieve it from the relevant registry or database.</w:t>
      </w:r>
    </w:p>
    <w:p>
      <w:r>
        <w:rPr>
          <w:sz w:val="22"/>
        </w:rPr>
        <w:t>This principle is actually a legal requirement in the European Union, under the EU Digital Single Market regulations. Estonia was one of the first countries to implement it fully. In Estonia, when you submit any information to any government agency, that information is automatically available to all other agencies through the X-Road interoperability layer. Citizens never have to fill in the same data twice.</w:t>
      </w:r>
    </w:p>
    <w:p>
      <w:r>
        <w:rPr>
          <w:sz w:val="22"/>
        </w:rPr>
        <w:t>For the MyGov platform, the once-only principle has a direct impact on how I design services. When I write the SDD for a service migration to MyGov, I must analyze every data field in the current service form and ask: is this data already available in a government registry? If yes, then the MyGov service should not ask the citizen to enter it manually. Instead, the system should retrieve it automatically from the registry.</w:t>
      </w:r>
    </w:p>
    <w:p>
      <w:r>
        <w:rPr>
          <w:sz w:val="22"/>
        </w:rPr>
        <w:t>For example, if a citizen applies for a service through MyGov and the form asks for their full name, date of birth and address, I need to check whether this data exists in the citizen registry. If it does, I design the service so that these fields are pre-populated from the registry and the citizen only needs to verify them, not type them. This reduces form filling time, reduces errors and improves the citizen experience.</w:t>
      </w:r>
    </w:p>
    <w:p>
      <w:r>
        <w:rPr>
          <w:sz w:val="22"/>
        </w:rPr>
        <w:t>There are practical challenges, of course. Not all data exists in registries. Some agencies still rely on paper-based records. Some registries are not connected to the interoperability layer. And there are data privacy and consent concerns: citizens must be informed about which agencies are accessing their data and must give their consent. As a BA, I need to document all these constraints in the SDD and define how the service handles cases where registry data is not available.</w:t>
      </w:r>
    </w:p>
    <w:p>
      <w:r>
        <w:rPr>
          <w:b/>
          <w:sz w:val="22"/>
        </w:rPr>
        <w:t xml:space="preserve">Q53  </w:t>
      </w:r>
      <w:r>
        <w:rPr>
          <w:sz w:val="22"/>
        </w:rPr>
        <w:t>When migrating hundreds of services from individual agency platforms to MyGov, how do you decide which services to migrate first?</w:t>
      </w:r>
    </w:p>
    <w:p>
      <w:r>
        <w:rPr>
          <w:sz w:val="22"/>
        </w:rPr>
        <w:t>This is one of the most important decisions in a service consolidation project, and the answer is: you need a structured prioritization framework. You cannot migrate services randomly or based on which agency complains the loudest. You need objective criteria.</w:t>
      </w:r>
    </w:p>
    <w:p>
      <w:r>
        <w:rPr>
          <w:sz w:val="22"/>
        </w:rPr>
        <w:t>I use a multi-factor prioritization matrix. The first factor is citizen demand, which means how many citizens use this service and how frequently. A service that ten thousand citizens use every day should clearly be migrated before a service that fifty citizens use once a year. I can measure this using analytics data from the current agency platforms.</w:t>
      </w:r>
    </w:p>
    <w:p>
      <w:r>
        <w:rPr>
          <w:sz w:val="22"/>
        </w:rPr>
        <w:t>The second factor is citizen impact, which means how much the citizen experience improves after migration. If a service currently requires three physical office visits and ten paper documents, migrating it to MyGov will have a huge impact. If a service is already available online and works well, the impact of migration is smaller, even if the volume is high.</w:t>
      </w:r>
    </w:p>
    <w:p>
      <w:r>
        <w:rPr>
          <w:sz w:val="22"/>
        </w:rPr>
        <w:t>The third factor is technical complexity. Some services are simple: one form, one database, one approval step. These can be migrated quickly. Other services require integration with five different backend systems, real-time data exchange and complex business rules. These take much longer. I need to balance the value of migrating a service against the cost and time required.</w:t>
      </w:r>
    </w:p>
    <w:p>
      <w:r>
        <w:rPr>
          <w:sz w:val="22"/>
        </w:rPr>
        <w:t>The fourth factor is agency readiness. Some agencies have modern IT systems, well-documented APIs and motivated teams. They are ready to integrate with MyGov quickly. Other agencies have legacy systems, no APIs and limited IT capacity. They need more time and support. I assess agency readiness through a structured evaluation that covers technical infrastructure, data quality, documentation and organizational willingness.</w:t>
      </w:r>
    </w:p>
    <w:p>
      <w:r>
        <w:rPr>
          <w:sz w:val="22"/>
        </w:rPr>
        <w:t>The fifth factor is strategic alignment. The Innovation Agency may have political priorities or national strategy goals that influence the order. For example, if the President announced that unemployment services must be digital by a certain date, that service gets higher priority regardless of other factors.</w:t>
      </w:r>
    </w:p>
    <w:p>
      <w:r>
        <w:rPr>
          <w:sz w:val="22"/>
        </w:rPr>
        <w:t>In practice, I would create a prioritization matrix with all services listed, score each service against these five factors, and recommend a phased migration plan. Phase 1 would include high-volume, high-impact, low-complexity services from ready agencies. Phase 2 would add medium-complexity services. Phase 3 would tackle the most complex integrations. This is the same phased approach I used in the GPP project at the Central Bank, where I coordinated the integration of ten-plus organizations into a single platform in multiple phases.</w:t>
      </w:r>
    </w:p>
    <w:p>
      <w:r>
        <w:rPr>
          <w:b/>
          <w:sz w:val="22"/>
        </w:rPr>
        <w:t xml:space="preserve">Q54  </w:t>
      </w:r>
      <w:r>
        <w:rPr>
          <w:sz w:val="22"/>
        </w:rPr>
        <w:t>What is the difference between platform thinking and project thinking, and why does it matter for MyGov?</w:t>
      </w:r>
    </w:p>
    <w:p>
      <w:r>
        <w:rPr>
          <w:sz w:val="22"/>
        </w:rPr>
        <w:t>This is an important distinction. Project thinking means you focus on delivering one specific service or one specific feature. You define the requirements, you build it, you test it and you deliver it. Your success is measured by whether that one service works correctly. This is how most BA work has traditionally been done.</w:t>
      </w:r>
    </w:p>
    <w:p>
      <w:r>
        <w:rPr>
          <w:sz w:val="22"/>
        </w:rPr>
        <w:t>Platform thinking means you focus on building a foundation that can support many services, now and in the future. You are not building one service; you are building the infrastructure, standards and reusable components that allow hundreds of services to be added efficiently over time. Your success is measured by how easily new services can be added to the platform.</w:t>
      </w:r>
    </w:p>
    <w:p>
      <w:r>
        <w:rPr>
          <w:sz w:val="22"/>
        </w:rPr>
        <w:t>Let me give you a concrete example. In project thinking, if you need to build an online application form for a specific service, you design the form, build it and deploy it. Done. In platform thinking, you design a generic form engine that can generate any type of government service form. The first service uses this engine, the second service uses the same engine, and the fiftieth service also uses the same engine. You invest more time in the beginning, but each additional service becomes cheaper and faster to deploy.</w:t>
      </w:r>
    </w:p>
    <w:p>
      <w:r>
        <w:rPr>
          <w:sz w:val="22"/>
        </w:rPr>
        <w:t>The same logic applies to other components. Instead of building a payment integration for one service, you build a shared payment gateway that all services use. Instead of building a notification system for one agency, you build a central notification service that any agency can connect to. Instead of building user authentication for each service, you build a single sign-on system that works across all services on MyGov.</w:t>
      </w:r>
    </w:p>
    <w:p>
      <w:r>
        <w:rPr>
          <w:sz w:val="22"/>
        </w:rPr>
        <w:t>For a Business Analyst, platform thinking changes how I write requirements. Instead of writing requirements that are specific to one service, I try to write requirements that define reusable patterns and standards. For example, instead of saying 'the employment service application form shall have five fields,' I say 'all service application forms on the MyGov platform shall follow the standard form design template defined in the MyGov Design System, with agency-specific fields defined in the service configuration.'</w:t>
      </w:r>
    </w:p>
    <w:p>
      <w:r>
        <w:rPr>
          <w:sz w:val="22"/>
        </w:rPr>
        <w:t>This approach requires more upfront analysis and more abstract thinking, but it pays off enormously when you are dealing with hundreds of services. It ensures consistency across services, reduces development costs over time and makes the platform easier to maintain and scale.</w:t>
      </w:r>
    </w:p>
    <w:p>
      <w:r>
        <w:rPr>
          <w:b/>
          <w:sz w:val="22"/>
        </w:rPr>
        <w:t xml:space="preserve">Q55  </w:t>
      </w:r>
      <w:r>
        <w:rPr>
          <w:sz w:val="22"/>
        </w:rPr>
        <w:t>In a service consolidation project, how do you handle agency resistance to migrating their services to MyGov?</w:t>
      </w:r>
    </w:p>
    <w:p>
      <w:r>
        <w:rPr>
          <w:sz w:val="22"/>
        </w:rPr>
        <w:t>Agency resistance is the single biggest risk in any service consolidation project, and it is completely understandable. When an agency has spent years building their digital platform, training their team and establishing their online presence, being told to migrate everything to a shared platform feels like losing control, losing visibility and losing institutional identity.</w:t>
      </w:r>
    </w:p>
    <w:p>
      <w:r>
        <w:rPr>
          <w:sz w:val="22"/>
        </w:rPr>
        <w:t>The first and most important principle is that resistance cannot be overcome by technical arguments alone. You cannot convince an agency director to migrate by showing them API documentation and system architecture diagrams. You need to speak their language and address their real concerns.</w:t>
      </w:r>
    </w:p>
    <w:p>
      <w:r>
        <w:rPr>
          <w:sz w:val="22"/>
        </w:rPr>
        <w:t>I use a stakeholder engagement approach that has four steps. The first step is listening. Before I propose anything, I schedule meetings with agency leadership and their IT teams. My goal is to understand their perspective: what do they like about their current platform? What are they proud of? What are they worried about losing? Often, their concerns are very practical. They worry about response times for their citizens. They worry about data security. They worry that their team will become irrelevant.</w:t>
      </w:r>
    </w:p>
    <w:p>
      <w:r>
        <w:rPr>
          <w:sz w:val="22"/>
        </w:rPr>
        <w:t>The second step is framing the benefits correctly. I do not say 'you must migrate because the government decided so.' Instead, I frame it as a win for the agency. I explain that by joining MyGov, their services will reach more citizens because MyGov has higher traffic than their individual app. I explain that the Innovation Agency will handle platform maintenance, which reduces their IT budget. I explain that their agency brand and service quality will still be visible within the MyGov platform.</w:t>
      </w:r>
    </w:p>
    <w:p>
      <w:r>
        <w:rPr>
          <w:sz w:val="22"/>
        </w:rPr>
        <w:t>The third step is proposing a phased transition that minimizes disruption. I never propose a hard cutover where their app is shut down on Monday and MyGov takes over on Tuesday. Instead, I propose a parallel period where both the agency app and the MyGov service run simultaneously. Citizens can choose which one to use. Over time, we gradually redirect traffic to MyGov. This gives the agency time to adapt and gives their citizens time to get used to the new channel.</w:t>
      </w:r>
    </w:p>
    <w:p>
      <w:r>
        <w:rPr>
          <w:sz w:val="22"/>
        </w:rPr>
        <w:t>The fourth step is escalation support. Sometimes, despite all efforts, an agency simply refuses to cooperate. In these cases, I document the situation, the impact on the consolidation timeline and the risks, and escalate to the Innovation Agency leadership or the relevant government authority. Political mandate is sometimes necessary, but it should always be the last resort, not the first approach.</w:t>
      </w:r>
    </w:p>
    <w:p>
      <w:r>
        <w:rPr>
          <w:sz w:val="22"/>
        </w:rPr>
        <w:t>I have direct experience with multi-agency coordination from my work at the Central Bank, where I coordinated the integration of ten-plus government organizations into the Government Payment Portal. Each organization had its own systems, its own priorities and its own concerns. My approach was always to listen first, then find the mutual benefit, then plan the transition carefully.</w:t>
      </w:r>
    </w:p>
    <w:p>
      <w:r>
        <w:rPr>
          <w:b/>
          <w:sz w:val="22"/>
        </w:rPr>
        <w:t xml:space="preserve">Q56  </w:t>
      </w:r>
      <w:r>
        <w:rPr>
          <w:sz w:val="22"/>
        </w:rPr>
        <w:t>What is a common data model, and why is it needed when multiple agencies share data through MyGov?</w:t>
      </w:r>
    </w:p>
    <w:p>
      <w:r>
        <w:rPr>
          <w:sz w:val="22"/>
        </w:rPr>
        <w:t>A common data model is a standardized way of organizing and representing data that all agencies agree to use when they exchange information through the MyGov platform. It is like a shared language for data.</w:t>
      </w:r>
    </w:p>
    <w:p>
      <w:r>
        <w:rPr>
          <w:sz w:val="22"/>
        </w:rPr>
        <w:t>Let me explain the problem first. Every government agency has its own way of storing and naming data. One agency might call a citizen address field 'citizen_address', another might call it 'residence_location', and a third might split it into 'street_name', 'house_number' and 'city' as separate fields. When these agencies need to exchange data, these differences cause confusion, errors and integration failures.</w:t>
      </w:r>
    </w:p>
    <w:p>
      <w:r>
        <w:rPr>
          <w:sz w:val="22"/>
        </w:rPr>
        <w:t>The common data model solves this problem by defining standard field names, standard data types, standard formats and standard code lists that all agencies must follow when exchanging data through MyGov. For example, the common data model defines that every citizen record must have a field called 'address_line_1' in text format, a field called 'postal_code' in five-digit format, and so on.</w:t>
      </w:r>
    </w:p>
    <w:p>
      <w:r>
        <w:rPr>
          <w:sz w:val="22"/>
        </w:rPr>
        <w:t>For a Business Analyst, creating and maintaining the common data model is a significant part of the job. I need to analyze the data structures of each agency, identify the common elements, resolve conflicts and agree on a standard format with all stakeholders. This requires many workshops with agency IT teams and data architects.</w:t>
      </w:r>
    </w:p>
    <w:p>
      <w:r>
        <w:rPr>
          <w:sz w:val="22"/>
        </w:rPr>
        <w:t>The common data model is especially important for MyGov because the platform needs to display data from multiple agencies in a unified way to the citizen. When a citizen logs into MyGov and sees their profile, they expect to see their information correctly formatted and consistent, regardless of which agency provided the data. The common data model makes this possible.</w:t>
      </w:r>
    </w:p>
    <w:p>
      <w:r>
        <w:rPr>
          <w:sz w:val="22"/>
        </w:rPr>
        <w:t>My experience at ASAN Service and the Central Bank prepared me well for this work. At the Government Payment Portal, I defined data exchange requirements and integration specifications for each agency, which required understanding each agency's data model and creating a standardized format for cross-system data exchange. This is essentially what a common data model does at a larger scale for the MyGov platform.</w:t>
      </w:r>
    </w:p>
    <w:p>
      <w:r>
        <w:rPr>
          <w:b/>
          <w:sz w:val="22"/>
        </w:rPr>
        <w:t xml:space="preserve">Q57  </w:t>
      </w:r>
      <w:r>
        <w:rPr>
          <w:sz w:val="22"/>
        </w:rPr>
        <w:t>You are invited to the interview. In the first few minutes, what should you say so that the interviewers decide internally that you are exactly the person they are looking for?</w:t>
      </w:r>
    </w:p>
    <w:p>
      <w:r>
        <w:rPr>
          <w:sz w:val="22"/>
        </w:rPr>
        <w:t>This is a very important question, and the answer is not about giving a perfect speech. It is about showing three things in the first few minutes: you understand their mission, you have the right experience, and you think the way they think.</w:t>
      </w:r>
    </w:p>
    <w:p>
      <w:r>
        <w:rPr>
          <w:sz w:val="22"/>
        </w:rPr>
        <w:t>Let me start with what you should NOT do. Do not start with your full life story. Do not start by listing all your skills one by one. Do not start by talking about what you want from them. These are common mistakes. The interviewers have read your CV already. They know your skills. In the first few minutes, they are not looking for information. They are looking for a feeling. They want to feel that you are the right person.</w:t>
      </w:r>
    </w:p>
    <w:p>
      <w:r>
        <w:rPr>
          <w:sz w:val="22"/>
        </w:rPr>
        <w:t>Here is what I would say in the first two to three minutes. I would say something like this.</w:t>
      </w:r>
    </w:p>
    <w:p>
      <w:r>
        <w:rPr>
          <w:sz w:val="22"/>
        </w:rPr>
        <w:t>Thank you for the opportunity. Before we start, I want to share why this position is important to me. The Innovation Agency has a clear mission: consolidate government services into MyGov so that citizens can access everything from one place. I understand this is not just a technical project. It is a national transformation project.</w:t>
      </w:r>
    </w:p>
    <w:p>
      <w:r>
        <w:rPr>
          <w:sz w:val="22"/>
        </w:rPr>
        <w:t>I know this because I have done similar work. At the Central Bank, I coordinated the integration of ten-plus government organizations into the Government Payment Portal. That was also about bringing multiple agencies into one platform. I defined the data exchange requirements, I designed the interoperability layer, and I worked directly with each agency to make it happen. So when I read about this position, I immediately understood the challenge because I have lived it.</w:t>
      </w:r>
    </w:p>
    <w:p>
      <w:r>
        <w:rPr>
          <w:sz w:val="22"/>
        </w:rPr>
        <w:t>What I bring to this role is not just BA skills. Many candidates have BA skills. What I bring is experience in the hardest part of this project: multi-agency coordination. I know how to sit with an agency that does not want to change, listen to their concerns, and find a solution that works for everyone. I know how to design an interoperability layer so that different systems can talk to each other. I know how to prioritize which services migrate first and which ones wait.</w:t>
      </w:r>
    </w:p>
    <w:p>
      <w:r>
        <w:rPr>
          <w:sz w:val="22"/>
        </w:rPr>
        <w:t>So I am here because I believe I can help the Innovation Agency deliver this project successfully. And I am excited to bring both my technical BA skills and my government coordination experience to this team.</w:t>
      </w:r>
    </w:p>
    <w:p>
      <w:r>
        <w:rPr>
          <w:sz w:val="22"/>
        </w:rPr>
        <w:t>Let me explain why this opening works. First, it shows that you understand their mission. You did not say 'I want this job.' You said 'I understand your mission.' This tells them you did your research. Second, it connects your past experience directly to their current challenge. You are not hoping they will figure out the connection. You are making the connection for them. Central Bank, ten-plus agencies, one platform, interoperability layer. These are the exact words they need to hear.</w:t>
      </w:r>
    </w:p>
    <w:p>
      <w:r>
        <w:rPr>
          <w:sz w:val="22"/>
        </w:rPr>
        <w:t>Third, it shows self-awareness. You said 'many candidates have BA skills, what I bring is multi-agency coordination experience.' This tells them you know what makes you different. You are not trying to be good at everything. You are showing them your strongest point clearly and honestly.</w:t>
      </w:r>
    </w:p>
    <w:p>
      <w:r>
        <w:rPr>
          <w:sz w:val="22"/>
        </w:rPr>
        <w:t>Fourth, it is not too long. Two to three minutes is the right length. If you talk for five minutes, they will stop listening. If you talk for thirty seconds, they will think you have nothing to say. Two to three minutes gives you enough time to make your point without losing their attention.</w:t>
      </w:r>
    </w:p>
    <w:p>
      <w:r>
        <w:rPr>
          <w:sz w:val="22"/>
        </w:rPr>
        <w:t>Now, let me also tell you what happens after this opening. The interviewers will likely respond in one of two ways. They might say 'Tell us more about the Central Bank project.' If they say this, it means your opening worked. They are interested. You should be ready to talk about the Central Bank experience in detail: which agencies you worked with, what problems you faced, how you solved them and what the results were.</w:t>
      </w:r>
    </w:p>
    <w:p>
      <w:r>
        <w:rPr>
          <w:sz w:val="22"/>
        </w:rPr>
        <w:t>Or they might say 'How would you handle the MyGov consolidation differently from the Central Bank project?' This is an even better response, because it means they are already thinking about you in the role. If they ask this, you should say: 'The approach would be similar but at a larger scale. The Central Bank project involved ten-plus organizations. MyGov could involve fifty or more. So the prioritization framework and the agency engagement strategy would need to be more structured. But the core challenge is the same: get different agencies to work together, design the interoperability layer, and deliver services that citizens can actually use.'</w:t>
      </w:r>
    </w:p>
    <w:p>
      <w:r>
        <w:rPr>
          <w:sz w:val="22"/>
        </w:rPr>
        <w:t>One more important thing. Your body language in the first few minutes matters as much as your words. Sit up straight, make eye contact with all interviewers, not just the one who is speaking, and smile. When you talk about the Central Bank experience, speak with confidence because you are talking about something real that you actually did. Do not use a memorized tone. Speak naturally, as if you are having a conversation with a colleague, not reciting a speech.</w:t>
      </w:r>
    </w:p>
    <w:p>
      <w:r>
        <w:rPr>
          <w:sz w:val="22"/>
        </w:rPr>
        <w:t>So the formula is: understand their mission, connect your experience directly, show your strongest point, keep it short, and speak naturally. If you do these five things in the first two to three minutes, the interviewers will feel that you are the right person, and the rest of the interview will be much easier for you.</w:t>
      </w:r>
    </w:p>
    <w:p>
      <w:r>
        <w:rPr>
          <w:b/>
          <w:sz w:val="22"/>
        </w:rPr>
        <w:t xml:space="preserve">Q58  </w:t>
      </w:r>
      <w:r>
        <w:rPr>
          <w:sz w:val="22"/>
        </w:rPr>
        <w:t>How can you create the impression in the interview that you already work there and you just came to a meeting with your colleagues, not as a nervous candidate?</w:t>
      </w:r>
    </w:p>
    <w:p>
      <w:r>
        <w:rPr>
          <w:sz w:val="22"/>
        </w:rPr>
        <w:t>This is a very smart strategy. In psychology, there is a concept called 'assumed membership.' When you behave as if you already belong to a group, the group naturally starts to accept you as one of their own. The interviewers stop seeing you as a candidate and start seeing you as a future colleague. This changes the entire dynamic of the conversation.</w:t>
      </w:r>
    </w:p>
    <w:p>
      <w:r>
        <w:rPr>
          <w:sz w:val="22"/>
        </w:rPr>
        <w:t>There are several techniques to create this effect, and I will walk you through each one.</w:t>
      </w:r>
    </w:p>
    <w:p>
      <w:r>
        <w:rPr>
          <w:sz w:val="22"/>
        </w:rPr>
        <w:t>The first technique is how you enter the room. Most candidates walk into the interview room slowly, look around nervously, wait for permission to sit, and then sit on the edge of the chair like they are a guest. You should do the opposite. Walk in with purpose, like you are walking into your own office. Greet them the way you greet colleagues on a Monday morning. Say something like 'Good morning, how was your weekend?' or 'Thank you for waiting, let me get started.' This small change in the first sentence immediately sets a different tone.</w:t>
      </w:r>
    </w:p>
    <w:p>
      <w:r>
        <w:rPr>
          <w:sz w:val="22"/>
        </w:rPr>
        <w:t>The second technique is your posture and seating. Do not sit on the edge of your chair. Sit all the way back, lean slightly forward, and use the table in front of you. Put your hands on the table, not in your lap. This is the posture of someone who is in a meeting, not someone who is being tested. Also, when they offer you water or tea, accept it naturally, the way you would in a team meeting. Small details like accepting a glass of water with confidence send a signal that you are comfortable.</w:t>
      </w:r>
    </w:p>
    <w:p>
      <w:r>
        <w:rPr>
          <w:sz w:val="22"/>
        </w:rPr>
        <w:t>The third technique is the way you talk about their work. This is the most powerful technique. Instead of saying 'If I get this job, I would do this,' say 'When we work on this, we should do it this way.' Instead of saying 'Your project sounds interesting,' say 'I have been thinking about the MyGov consolidation, and here is what I believe we should prioritize.' The word 'we' is your strongest tool. Every time you say 'we,' you place yourself inside the team.</w:t>
      </w:r>
    </w:p>
    <w:p>
      <w:r>
        <w:rPr>
          <w:sz w:val="22"/>
        </w:rPr>
        <w:t>Let me give you concrete examples of how this works in practice. If they ask you 'How would you approach the service inventory for MyGov?', do not answer like a consultant who is guessing what they need. Answer like a colleague who has already thought about it. Say something like 'I have been thinking about this, and I believe we should start with three steps. First, we need a complete inventory of all services across all agencies. I know some agencies do not even have a full list of their own services, so this will require direct engagement. Second, we should categorize services by volume and complexity so we can prioritize. Third, we should identify quick wins, services that are simple to migrate but have high citizen impact, so we can show early results and build momentum. The first phase should take about six to eight weeks if we have good cooperation from the agencies.' Notice how I did not say 'I think you should.' I said 'we should.' And I gave specific timelines and steps, which shows I have already been thinking about this as if it is my project.</w:t>
      </w:r>
    </w:p>
    <w:p>
      <w:r>
        <w:rPr>
          <w:sz w:val="22"/>
        </w:rPr>
        <w:t>The fourth technique is how you handle disagreements. In most interviews, when the interviewer challenges your answer, the candidate gets defensive and tries to prove they are right. This is the wrong approach. If a colleague challenges your idea in a meeting, you do not get defensive. You listen, you think, and you either agree or respectfully disagree with a reason. If an interviewer says 'But what if the agency refuses to cooperate?', do not panic. Say something like 'That is a real risk, and I have thought about it. In my Central Bank experience, I had two agencies that were very resistant. What worked for me was a three-step approach: first, I met with their leadership privately to understand their concerns. Second, I framed the integration as a benefit for their agency, not a loss. And third, when direct negotiation did not work, I escalated to the steering committee level. So my answer is: we will try negotiation first, and if that does not work, we use the formal escalation path that the ToR defines.' This answer shows that you have real experience with this exact problem, and you treat the challenge as a normal work discussion, not as a test.</w:t>
      </w:r>
    </w:p>
    <w:p>
      <w:r>
        <w:rPr>
          <w:sz w:val="22"/>
        </w:rPr>
        <w:t>The fifth technique is asking questions back. In a normal meeting, you do not just answer questions. You also ask questions. This shows that you are thinking about the project, not just about passing the interview. At the right moment, ask a question like 'Can you tell me more about the current status of the MyGov platform? Which agencies have already been onboarded?' Or ask 'What is the biggest obstacle the team is facing right now with the consolidation?' When you ask these questions, you are not being curious as an outsider. You are asking the way a new team member would ask in their first project meeting. This is very different from a candidate who only answers questions.</w:t>
      </w:r>
    </w:p>
    <w:p>
      <w:r>
        <w:rPr>
          <w:sz w:val="22"/>
        </w:rPr>
        <w:t>The sixth technique is about energy and tone. Speak with the energy of someone who is already working on exciting projects. When you talk about the MyGov consolidation, do not sound like you are explaining something you read in a book. Sound like someone who is excited about the challenge because it is the kind of work you love doing. Passion is contagious. When they see that you are genuinely excited about their project, they will feel like you are already part of the team.</w:t>
      </w:r>
    </w:p>
    <w:p>
      <w:r>
        <w:rPr>
          <w:sz w:val="22"/>
        </w:rPr>
        <w:t>But there is one very important warning. Do not overdo this. If you act too confident, if you act like you already know everything about their internal processes, or if you act like you are the boss, this will backfire. The key word is 'colleague,' not 'expert who knows better.' A good colleague listens, respects other opinions, and contributes constructively. A bad colleague interrupts, dominates the conversation and acts like they are the smartest person in the room. You want to be the first type.</w:t>
      </w:r>
    </w:p>
    <w:p>
      <w:r>
        <w:rPr>
          <w:sz w:val="22"/>
        </w:rPr>
        <w:t>So the summary is simple. Enter like you belong. Use the word 'we.' Talk about their project with specific knowledge. Handle disagreements like a colleague, not like a candidate. Ask questions back. Show genuine excitement. And always respect their expertise. If you do all of this, they will not feel like they are interviewing a stranger. They will feel like they are having a project meeting with their new team member.</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