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250" w:lineRule="exact"/>
        <w:jc w:val="left"/>
      </w:pPr>
      <w:r>
        <w:rPr>
          <w:rFonts w:ascii="Calibri" w:hAnsi="Calibri"/>
          <w:b/>
          <w:color w:val="212529"/>
          <w:sz w:val="30"/>
        </w:rPr>
        <w:t>ZAMİR JAMALOV</w:t>
      </w:r>
    </w:p>
    <w:p>
      <w:pPr>
        <w:spacing w:after="40" w:before="0" w:line="250" w:lineRule="exact"/>
        <w:jc w:val="left"/>
      </w:pPr>
      <w:r>
        <w:rPr>
          <w:rFonts w:ascii="Calibri" w:hAnsi="Calibri"/>
          <w:b w:val="0"/>
          <w:color w:val="005A9C"/>
          <w:sz w:val="19"/>
        </w:rPr>
        <w:t>Business Analyst  |  18 Years in IT</w:t>
      </w:r>
    </w:p>
    <w:p>
      <w:pPr>
        <w:spacing w:after="80" w:before="0" w:line="250" w:lineRule="exact"/>
        <w:jc w:val="left"/>
      </w:pPr>
      <w:r>
        <w:rPr>
          <w:rFonts w:ascii="Calibri" w:hAnsi="Calibri"/>
          <w:b w:val="0"/>
          <w:color w:val="595959"/>
          <w:sz w:val="18"/>
        </w:rPr>
        <w:t>+994 55 207 7228  |  jamalov.zamir@gmail.com  |  Bakı, Azərbaycan</w:t>
      </w:r>
    </w:p>
    <w:p>
      <w:pPr>
        <w:spacing w:after="80" w:before="80"/>
        <w:pBdr>
          <w:bottom w:val="single" w:sz="4" w:space="1" w:color="AAAAAA"/>
        </w:pBdr>
      </w:pPr>
    </w:p>
    <w:p>
      <w:pPr>
        <w:spacing w:after="40" w:before="0" w:line="250" w:lineRule="exact"/>
        <w:jc w:val="left"/>
      </w:pPr>
      <w:r>
        <w:rPr>
          <w:rFonts w:ascii="Calibri" w:hAnsi="Calibri"/>
          <w:b/>
          <w:color w:val="005A9C"/>
          <w:sz w:val="19"/>
        </w:rPr>
        <w:t>PROFIL XÜLASƏSİ</w:t>
      </w:r>
    </w:p>
    <w:p>
      <w:pPr>
        <w:spacing w:after="80" w:before="0" w:line="250" w:lineRule="exact"/>
        <w:jc w:val="left"/>
      </w:pPr>
      <w:r>
        <w:rPr>
          <w:rFonts w:ascii="Calibri" w:hAnsi="Calibri"/>
          <w:b w:val="0"/>
          <w:color w:val="212529"/>
          <w:sz w:val="17"/>
        </w:rPr>
        <w:t>Biznes analitikası, sistem inteqrasiyası və dövlət sektoru təcrübəsini birləşdirən 18 illik IT peşəkar. 14-dən çox istehsalat səviyyəsində BA sənədinin müəllifi: BRD, FRD, SRS, User Stories, API spesifikasiyaları, As-Is / To-Be təhlil. Dövlət Ödəniş Portalı (GPP) çərçivəsində 10+ qurumun inteqrasiyası, EMAS məşğulluq sisteminin digitallaşdırılması, vətəndaşlara yönəlmiş rəqəmsal xidmət kanallarının yaradılması. Xidmət dizaynı (Customer Journey Mapping, Service Blueprint) və ucdan-uca proses arxitekturası üzrə praktiki təcrübə.</w:t>
      </w:r>
    </w:p>
    <w:p>
      <w:pPr>
        <w:spacing w:after="80" w:before="80"/>
        <w:pBdr>
          <w:bottom w:val="single" w:sz="4" w:space="1" w:color="AAAAAA"/>
        </w:pBdr>
      </w:pPr>
    </w:p>
    <w:p>
      <w:pPr>
        <w:spacing w:after="40" w:before="0" w:line="250" w:lineRule="exact"/>
        <w:jc w:val="left"/>
      </w:pPr>
      <w:r>
        <w:rPr>
          <w:rFonts w:ascii="Calibri" w:hAnsi="Calibri"/>
          <w:b/>
          <w:color w:val="005A9C"/>
          <w:sz w:val="19"/>
        </w:rPr>
        <w:t>ƏSAS BACARIQLAR</w:t>
      </w:r>
    </w:p>
    <w:p>
      <w:pPr>
        <w:spacing w:after="20" w:before="0" w:line="250" w:lineRule="exact"/>
        <w:jc w:val="left"/>
      </w:pPr>
      <w:r>
        <w:rPr>
          <w:rFonts w:ascii="Calibri" w:hAnsi="Calibri"/>
          <w:b/>
          <w:color w:val="212529"/>
          <w:sz w:val="17"/>
        </w:rPr>
        <w:t>Xidmət Dizaynı:</w:t>
      </w:r>
    </w:p>
    <w:p>
      <w:pPr>
        <w:spacing w:after="60" w:before="0" w:line="250" w:lineRule="exact"/>
        <w:jc w:val="left"/>
      </w:pPr>
      <w:r>
        <w:rPr>
          <w:rFonts w:ascii="Calibri" w:hAnsi="Calibri"/>
          <w:b w:val="0"/>
          <w:color w:val="212529"/>
          <w:sz w:val="16"/>
        </w:rPr>
        <w:t>Customer Journey Mapping  |  Service Blueprint  |  Design Thinking  |  As-Is / To-Be Xidmət Analizi  |  Vətəndaşa Yönəlmiş Xidmət Dizaynı  |  Həyat Hadisələrinə Əsaslanan Xidmət Modelləşdirməsi  |  SLA / KPI Monitorinqi</w:t>
      </w:r>
    </w:p>
    <w:p>
      <w:pPr>
        <w:spacing w:after="20" w:before="0" w:line="250" w:lineRule="exact"/>
        <w:jc w:val="left"/>
      </w:pPr>
      <w:r>
        <w:rPr>
          <w:rFonts w:ascii="Calibri" w:hAnsi="Calibri"/>
          <w:b/>
          <w:color w:val="212529"/>
          <w:sz w:val="17"/>
        </w:rPr>
        <w:t>Biznes Analitikası:</w:t>
      </w:r>
    </w:p>
    <w:p>
      <w:pPr>
        <w:spacing w:after="60" w:before="0" w:line="250" w:lineRule="exact"/>
        <w:jc w:val="left"/>
      </w:pPr>
      <w:r>
        <w:rPr>
          <w:rFonts w:ascii="Calibri" w:hAnsi="Calibri"/>
          <w:b w:val="0"/>
          <w:color w:val="212529"/>
          <w:sz w:val="16"/>
        </w:rPr>
        <w:t>BRD / FRD / SRS  |  User Stories &amp; Acceptance Criteria  |  BPMN (As-Is / To-Be)  |  UML &amp; Sequence Diagrams  |  Gap Analysis  |  Stakeholder İntervyuları  |  Backlog Prioritization (RICE)  |  UAT</w:t>
      </w:r>
    </w:p>
    <w:p>
      <w:pPr>
        <w:spacing w:after="20" w:before="0" w:line="250" w:lineRule="exact"/>
        <w:jc w:val="left"/>
      </w:pPr>
      <w:r>
        <w:rPr>
          <w:rFonts w:ascii="Calibri" w:hAnsi="Calibri"/>
          <w:b/>
          <w:color w:val="212529"/>
          <w:sz w:val="17"/>
        </w:rPr>
        <w:t>Texniki:</w:t>
      </w:r>
    </w:p>
    <w:p>
      <w:pPr>
        <w:spacing w:after="60" w:before="0" w:line="250" w:lineRule="exact"/>
        <w:jc w:val="left"/>
      </w:pPr>
      <w:r>
        <w:rPr>
          <w:rFonts w:ascii="Calibri" w:hAnsi="Calibri"/>
          <w:b w:val="0"/>
          <w:color w:val="212529"/>
          <w:sz w:val="16"/>
        </w:rPr>
        <w:t>REST API &amp; JSON  |  Swagger / OpenAPI 3.0  |  SQL  |  SDLC  |  Sistem İnteqrasiyası  |  Data-Driven Analysis</w:t>
      </w:r>
    </w:p>
    <w:p>
      <w:pPr>
        <w:spacing w:after="20" w:before="0" w:line="250" w:lineRule="exact"/>
        <w:jc w:val="left"/>
      </w:pPr>
      <w:r>
        <w:rPr>
          <w:rFonts w:ascii="Calibri" w:hAnsi="Calibri"/>
          <w:b/>
          <w:color w:val="212529"/>
          <w:sz w:val="17"/>
        </w:rPr>
        <w:t>Proses &amp; Alətlər:</w:t>
      </w:r>
    </w:p>
    <w:p>
      <w:pPr>
        <w:spacing w:after="80" w:before="0" w:line="250" w:lineRule="exact"/>
        <w:jc w:val="left"/>
      </w:pPr>
      <w:r>
        <w:rPr>
          <w:rFonts w:ascii="Calibri" w:hAnsi="Calibri"/>
          <w:b w:val="0"/>
          <w:color w:val="212529"/>
          <w:sz w:val="16"/>
        </w:rPr>
        <w:t>Agile / Scrum  |  Jira  |  Confluence  |  Çoxfunksional Əlaqələndirmə  |  Dövlət Sektoru Stakeholder İdarəetməsi  |  Proses Digitallaşdırılması</w:t>
      </w:r>
    </w:p>
    <w:p>
      <w:pPr>
        <w:spacing w:after="80" w:before="80"/>
        <w:pBdr>
          <w:bottom w:val="single" w:sz="4" w:space="1" w:color="AAAAAA"/>
        </w:pBdr>
      </w:pPr>
    </w:p>
    <w:p>
      <w:pPr>
        <w:spacing w:after="80" w:before="0" w:line="250" w:lineRule="exact"/>
        <w:jc w:val="left"/>
      </w:pPr>
      <w:r>
        <w:rPr>
          <w:rFonts w:ascii="Calibri" w:hAnsi="Calibri"/>
          <w:b/>
          <w:color w:val="005A9C"/>
          <w:sz w:val="19"/>
        </w:rPr>
        <w:t>PEŞƏKAR TƏCRÜBƏ</w:t>
      </w:r>
    </w:p>
    <w:p>
      <w:pPr>
        <w:spacing w:after="20" w:before="0" w:line="250" w:lineRule="exact"/>
        <w:jc w:val="left"/>
      </w:pPr>
      <w:r>
        <w:rPr>
          <w:rFonts w:ascii="Calibri" w:hAnsi="Calibri"/>
          <w:b/>
          <w:color w:val="212529"/>
          <w:sz w:val="18"/>
        </w:rPr>
        <w:t>Embafinans  |  Baş IT Biznes Analitiki</w:t>
      </w:r>
    </w:p>
    <w:p>
      <w:pPr>
        <w:spacing w:after="40" w:before="0" w:line="250" w:lineRule="exact"/>
        <w:jc w:val="left"/>
      </w:pPr>
      <w:r>
        <w:rPr>
          <w:rFonts w:ascii="Calibri" w:hAnsi="Calibri"/>
          <w:b w:val="0"/>
          <w:color w:val="787878"/>
          <w:sz w:val="16"/>
        </w:rPr>
        <w:t>2025 – Hazırkı</w:t>
      </w:r>
    </w:p>
    <w:p>
      <w:pPr>
        <w:spacing w:after="30" w:before="0" w:line="240" w:lineRule="exact"/>
        <w:ind w:left="360" w:hanging="216"/>
      </w:pPr>
      <w:r>
        <w:rPr>
          <w:rFonts w:ascii="Calibri" w:hAnsi="Calibri"/>
          <w:color w:val="212529"/>
          <w:sz w:val="18"/>
        </w:rPr>
        <w:t>•  Fintech məhsulları üzrə biznes analitikasının rəhbərliyi: BNPL credit scoring, ödəniş gateway inteqrasiyası, kredit izləmə dashboardu</w:t>
      </w:r>
    </w:p>
    <w:p>
      <w:pPr>
        <w:spacing w:after="30" w:before="0" w:line="240" w:lineRule="exact"/>
        <w:ind w:left="360" w:hanging="216"/>
      </w:pPr>
      <w:r>
        <w:rPr>
          <w:rFonts w:ascii="Calibri" w:hAnsi="Calibri"/>
          <w:color w:val="212529"/>
          <w:sz w:val="18"/>
        </w:rPr>
        <w:t>•  BRD, FRD, SRS sənədlərinin yaradılması; User Stories (Gherkin AC) ilə sprintlər boyu traceability-in saxlanması</w:t>
      </w:r>
    </w:p>
    <w:p>
      <w:pPr>
        <w:spacing w:after="30" w:before="0" w:line="240" w:lineRule="exact"/>
        <w:ind w:left="360" w:hanging="216"/>
      </w:pPr>
      <w:r>
        <w:rPr>
          <w:rFonts w:ascii="Calibri" w:hAnsi="Calibri"/>
          <w:color w:val="212529"/>
          <w:sz w:val="18"/>
        </w:rPr>
        <w:t>•  REST API spesifikasiyalarının Swagger / OpenAPI 3.0-da müəyyən edilməsi, sequence diaqramları ilə inteqrasiya axınlarının modelleməsi</w:t>
      </w:r>
    </w:p>
    <w:p>
      <w:pPr>
        <w:spacing w:after="30" w:before="0" w:line="240" w:lineRule="exact"/>
        <w:ind w:left="360" w:hanging="216"/>
      </w:pPr>
      <w:r>
        <w:rPr>
          <w:rFonts w:ascii="Calibri" w:hAnsi="Calibri"/>
          <w:color w:val="212529"/>
          <w:sz w:val="18"/>
        </w:rPr>
        <w:t>•  UAT icrasının biznes sahibləri ilə əlaqələndirilməsi, bug triage iclaslarının rəhbərliyi, release dövrlərində zamanında sign-off</w:t>
      </w:r>
    </w:p>
    <w:p>
      <w:pPr>
        <w:spacing w:after="20" w:before="80" w:line="250" w:lineRule="exact"/>
        <w:jc w:val="left"/>
      </w:pPr>
      <w:r>
        <w:rPr>
          <w:rFonts w:ascii="Calibri" w:hAnsi="Calibri"/>
          <w:b/>
          <w:color w:val="212529"/>
          <w:sz w:val="18"/>
        </w:rPr>
        <w:t>Kapital Bank / Birbonus  |  IT Biznes Analitiki</w:t>
      </w:r>
    </w:p>
    <w:p>
      <w:pPr>
        <w:spacing w:after="40" w:before="0" w:line="250" w:lineRule="exact"/>
        <w:jc w:val="left"/>
      </w:pPr>
      <w:r>
        <w:rPr>
          <w:rFonts w:ascii="Calibri" w:hAnsi="Calibri"/>
          <w:b w:val="0"/>
          <w:color w:val="787878"/>
          <w:sz w:val="16"/>
        </w:rPr>
        <w:t>2024 – 2025</w:t>
      </w:r>
    </w:p>
    <w:p>
      <w:pPr>
        <w:spacing w:after="30" w:before="0" w:line="240" w:lineRule="exact"/>
        <w:ind w:left="360" w:hanging="216"/>
      </w:pPr>
      <w:r>
        <w:rPr>
          <w:rFonts w:ascii="Calibri" w:hAnsi="Calibri"/>
          <w:color w:val="212529"/>
          <w:sz w:val="18"/>
        </w:rPr>
        <w:t>•  Müştəri sadiqlik bonus sistemi (Birmarket) dizaynı: alış-veriş zamanı xal qazanma və partner satıcılarda xərcləmə modeli</w:t>
      </w:r>
    </w:p>
    <w:p>
      <w:pPr>
        <w:spacing w:after="30" w:before="0" w:line="240" w:lineRule="exact"/>
        <w:ind w:left="360" w:hanging="216"/>
      </w:pPr>
      <w:r>
        <w:rPr>
          <w:rFonts w:ascii="Calibri" w:hAnsi="Calibri"/>
          <w:color w:val="212529"/>
          <w:sz w:val="18"/>
        </w:rPr>
        <w:t>•  Stakeholder sessiyaları ilə qazanma qaydaları, uyğunluq meyarları və partner hesablaşma workflow-larının müəyyən edilməsi</w:t>
      </w:r>
    </w:p>
    <w:p>
      <w:pPr>
        <w:spacing w:after="20" w:before="80" w:line="250" w:lineRule="exact"/>
        <w:jc w:val="left"/>
      </w:pPr>
      <w:r>
        <w:rPr>
          <w:rFonts w:ascii="Calibri" w:hAnsi="Calibri"/>
          <w:b/>
          <w:color w:val="212529"/>
          <w:sz w:val="18"/>
        </w:rPr>
        <w:t>Umico  |  İnteqrasiya Mütəxəssisi</w:t>
      </w:r>
    </w:p>
    <w:p>
      <w:pPr>
        <w:spacing w:after="40" w:before="0" w:line="250" w:lineRule="exact"/>
        <w:jc w:val="left"/>
      </w:pPr>
      <w:r>
        <w:rPr>
          <w:rFonts w:ascii="Calibri" w:hAnsi="Calibri"/>
          <w:b w:val="0"/>
          <w:color w:val="787878"/>
          <w:sz w:val="16"/>
        </w:rPr>
        <w:t>2022 – 2024</w:t>
      </w:r>
    </w:p>
    <w:p>
      <w:pPr>
        <w:spacing w:after="30" w:before="0" w:line="240" w:lineRule="exact"/>
        <w:ind w:left="360" w:hanging="216"/>
      </w:pPr>
      <w:r>
        <w:rPr>
          <w:rFonts w:ascii="Calibri" w:hAnsi="Calibri"/>
          <w:color w:val="212529"/>
          <w:sz w:val="18"/>
        </w:rPr>
        <w:t>•  25+ partner şirkətin Umico ekosistemə API inteqrasiyası: inteqrasiya spesifikasiyalarının müəyyən edilməsi və texniki icrasının əlaqələndirilməsi</w:t>
      </w:r>
    </w:p>
    <w:p>
      <w:pPr>
        <w:spacing w:after="30" w:before="0" w:line="240" w:lineRule="exact"/>
        <w:ind w:left="360" w:hanging="216"/>
      </w:pPr>
      <w:r>
        <w:rPr>
          <w:rFonts w:ascii="Calibri" w:hAnsi="Calibri"/>
          <w:color w:val="212529"/>
          <w:sz w:val="18"/>
        </w:rPr>
        <w:t>•  Backend xüsusiyyətlərin inkişaf etdirilməsi (PostgreSQL), L2 istehsalat insidentlərinin həlli, partner komandalarına dəstək</w:t>
      </w:r>
    </w:p>
    <w:p>
      <w:pPr>
        <w:spacing w:after="20" w:before="80" w:line="250" w:lineRule="exact"/>
        <w:jc w:val="left"/>
      </w:pPr>
      <w:r>
        <w:rPr>
          <w:rFonts w:ascii="Calibri" w:hAnsi="Calibri"/>
          <w:b/>
          <w:color w:val="212529"/>
          <w:sz w:val="18"/>
        </w:rPr>
        <w:t>Dövlət Məşğulluq Agentliyi  |  İnnovasiyalar Şöbəsinin Rəhbəri &amp; Biznes Analitik</w:t>
      </w:r>
    </w:p>
    <w:p>
      <w:pPr>
        <w:spacing w:after="40" w:before="0" w:line="250" w:lineRule="exact"/>
        <w:jc w:val="left"/>
      </w:pPr>
      <w:r>
        <w:rPr>
          <w:rFonts w:ascii="Calibri" w:hAnsi="Calibri"/>
          <w:b w:val="0"/>
          <w:color w:val="787878"/>
          <w:sz w:val="16"/>
        </w:rPr>
        <w:t>2021 – 2022</w:t>
      </w:r>
    </w:p>
    <w:p>
      <w:pPr>
        <w:spacing w:after="30" w:before="0" w:line="240" w:lineRule="exact"/>
        <w:ind w:left="360" w:hanging="216"/>
      </w:pPr>
      <w:r>
        <w:rPr>
          <w:rFonts w:ascii="Calibri" w:hAnsi="Calibri"/>
          <w:color w:val="212529"/>
          <w:sz w:val="18"/>
        </w:rPr>
        <w:t>•  İnnovasiyalar şöbəsinin rəhbərliyi (2 nəfər), 15 nəfərlik EMAS layihə komandası ilə əlaqələndirmə, metodoloji bələdçilik və bilik transferi</w:t>
      </w:r>
    </w:p>
    <w:p>
      <w:pPr>
        <w:spacing w:after="30" w:before="0" w:line="240" w:lineRule="exact"/>
        <w:ind w:left="360" w:hanging="216"/>
      </w:pPr>
      <w:r>
        <w:rPr>
          <w:rFonts w:ascii="Calibri" w:hAnsi="Calibri"/>
          <w:color w:val="212529"/>
          <w:sz w:val="18"/>
        </w:rPr>
        <w:t>•  EMAS (Məşğulluğun İdarəolunması Avtomatlaşdırma Sistemi) üzrə biznes analitik: tələblərin toplanması, sənədləşməsi, texniki komandaya təhvil verilməsi</w:t>
      </w:r>
    </w:p>
    <w:p>
      <w:pPr>
        <w:spacing w:after="30" w:before="0" w:line="240" w:lineRule="exact"/>
        <w:ind w:left="360" w:hanging="216"/>
      </w:pPr>
      <w:r>
        <w:rPr>
          <w:rFonts w:ascii="Calibri" w:hAnsi="Calibri"/>
          <w:color w:val="212529"/>
          <w:sz w:val="18"/>
        </w:rPr>
        <w:t>•  Vətəndaşların xidmətə çıxış yollarının dizaynı: Telegram vasitəsilə real vaxt rejimində müraciət qəbulu və cavablandırma sistemi — xidmətə çıxışın asanlaşdırılması</w:t>
      </w:r>
    </w:p>
    <w:p>
      <w:pPr>
        <w:spacing w:after="30" w:before="0" w:line="240" w:lineRule="exact"/>
        <w:ind w:left="360" w:hanging="216"/>
      </w:pPr>
      <w:r>
        <w:rPr>
          <w:rFonts w:ascii="Calibri" w:hAnsi="Calibri"/>
          <w:color w:val="212529"/>
          <w:sz w:val="18"/>
        </w:rPr>
        <w:t>•  İdarəetmə şurası üçün real vaxt monitoring dashboardu: vətəndaş müraciətləri, cavab müddətləri, xidmət keyfiyyəti KPI-larının şəffaf izlənməsi</w:t>
      </w:r>
    </w:p>
    <w:p>
      <w:pPr>
        <w:spacing w:after="30" w:before="0" w:line="240" w:lineRule="exact"/>
        <w:ind w:left="360" w:hanging="216"/>
      </w:pPr>
      <w:r>
        <w:rPr>
          <w:rFonts w:ascii="Calibri" w:hAnsi="Calibri"/>
          <w:color w:val="212529"/>
          <w:sz w:val="18"/>
        </w:rPr>
        <w:t>•  Vətəndaşın məşğulluq xidmətinə müraciətindən nəticə əldə etməyədək olan tam xidmət yolunun (service journey) təhlili və təkmilləşdirilməsi</w:t>
      </w:r>
    </w:p>
    <w:p>
      <w:pPr>
        <w:spacing w:after="20" w:before="80" w:line="250" w:lineRule="exact"/>
        <w:jc w:val="left"/>
      </w:pPr>
      <w:r>
        <w:rPr>
          <w:rFonts w:ascii="Calibri" w:hAnsi="Calibri"/>
          <w:b/>
          <w:color w:val="212529"/>
          <w:sz w:val="18"/>
        </w:rPr>
        <w:t>Azərbaycan Respublikasının Mərkəzi Bankı  |  İnteqrasiya Developer</w:t>
      </w:r>
    </w:p>
    <w:p>
      <w:pPr>
        <w:spacing w:after="40" w:before="0" w:line="250" w:lineRule="exact"/>
        <w:jc w:val="left"/>
      </w:pPr>
      <w:r>
        <w:rPr>
          <w:rFonts w:ascii="Calibri" w:hAnsi="Calibri"/>
          <w:b w:val="0"/>
          <w:color w:val="787878"/>
          <w:sz w:val="16"/>
        </w:rPr>
        <w:t>2007 – 2012</w:t>
      </w:r>
    </w:p>
    <w:p>
      <w:pPr>
        <w:spacing w:after="30" w:before="0" w:line="240" w:lineRule="exact"/>
        <w:ind w:left="360" w:hanging="216"/>
      </w:pPr>
      <w:r>
        <w:rPr>
          <w:rFonts w:ascii="Calibri" w:hAnsi="Calibri"/>
          <w:color w:val="212529"/>
          <w:sz w:val="18"/>
        </w:rPr>
        <w:t>•  Dövlət Ödəniş Portalı (GPP) layihəsi: 10+ dövlət qurumunun portal-a texniki inteqrasiyası, məlumat mübadiləsi spesifikasiyalarının müəyyən edilməsi</w:t>
      </w:r>
    </w:p>
    <w:p>
      <w:pPr>
        <w:spacing w:after="30" w:before="0" w:line="240" w:lineRule="exact"/>
        <w:ind w:left="360" w:hanging="216"/>
      </w:pPr>
      <w:r>
        <w:rPr>
          <w:rFonts w:ascii="Calibri" w:hAnsi="Calibri"/>
          <w:color w:val="212529"/>
          <w:sz w:val="18"/>
        </w:rPr>
        <w:t>•  Dövlət qurumları arasında cross-system middleware-in inkişaf etdirilməsi, milli miqyasda avtomatlaşdırılmış ödəniş emalının təmin edilməsi</w:t>
      </w:r>
    </w:p>
    <w:p>
      <w:pPr>
        <w:spacing w:after="80" w:before="80"/>
        <w:pBdr>
          <w:bottom w:val="single" w:sz="4" w:space="1" w:color="AAAAAA"/>
        </w:pBdr>
      </w:pPr>
    </w:p>
    <w:p>
      <w:pPr>
        <w:spacing w:after="40" w:before="0" w:line="250" w:lineRule="exact"/>
        <w:jc w:val="left"/>
      </w:pPr>
      <w:r>
        <w:rPr>
          <w:rFonts w:ascii="Calibri" w:hAnsi="Calibri"/>
          <w:b/>
          <w:color w:val="005A9C"/>
          <w:sz w:val="19"/>
        </w:rPr>
        <w:t>PEŞƏKAR İNKİŞAF</w:t>
      </w:r>
    </w:p>
    <w:p>
      <w:pPr>
        <w:spacing w:after="80" w:before="0" w:line="250" w:lineRule="exact"/>
        <w:jc w:val="left"/>
      </w:pPr>
      <w:r>
        <w:rPr>
          <w:rFonts w:ascii="Calibri" w:hAnsi="Calibri"/>
          <w:b w:val="0"/>
          <w:color w:val="212529"/>
          <w:sz w:val="17"/>
        </w:rPr>
        <w:t>Biznes analitikası metodologiyasını real layihələrdə praktiki tətbiq etməklə mənimsəmişəm: 14-dən çox istehsalat səviyyəsində BA sənədi (BRD, FRD, SRS, User Stories, API Specs, BPMN, UAT) fintech, e-kommersiya və dövlət xidmətləri sahələrində. Biznes proses və xidmət dizaynı metodologiyalarının hər ikisində praktik təcrübəyə malikəm.</w:t>
      </w:r>
    </w:p>
    <w:p>
      <w:pPr>
        <w:spacing w:after="80" w:before="80"/>
        <w:pBdr>
          <w:bottom w:val="single" w:sz="4" w:space="1" w:color="AAAAAA"/>
        </w:pBdr>
      </w:pPr>
    </w:p>
    <w:p>
      <w:pPr>
        <w:spacing w:after="40" w:before="0" w:line="250" w:lineRule="exact"/>
        <w:jc w:val="left"/>
      </w:pPr>
      <w:r>
        <w:rPr>
          <w:rFonts w:ascii="Calibri" w:hAnsi="Calibri"/>
          <w:b/>
          <w:color w:val="005A9C"/>
          <w:sz w:val="19"/>
        </w:rPr>
        <w:t>ƏLAVƏ PEŞƏKAR ARXAPLAN</w:t>
      </w:r>
    </w:p>
    <w:p>
      <w:pPr>
        <w:spacing w:after="80" w:before="0" w:line="250" w:lineRule="exact"/>
        <w:jc w:val="left"/>
      </w:pPr>
      <w:r>
        <w:rPr>
          <w:rFonts w:ascii="Calibri" w:hAnsi="Calibri"/>
          <w:b w:val="0"/>
          <w:color w:val="212529"/>
          <w:sz w:val="17"/>
        </w:rPr>
        <w:t>10+ illik proqram mühəndisliyi və data analitikası təcrübəsi Azərbaycanın bank və dövlət sektorlarında: core banking inkişafı (Zaminbank, Unibank, Bank of Baku, Rabita Bank), backend development (Umico), və dövlət xidmətləri (ASAN Service). Bu təməl enterprise sistemlər, verilənlər bazası arxitekturaları (Oracle, MSSQL, PostgreSQL, MongoDB), dövlət xidmət çatdırılma nümunələri və çoxtəşkilatlı inteqrasiya barədə dərin anlayış təmin edir.</w:t>
      </w:r>
    </w:p>
    <w:p>
      <w:pPr>
        <w:spacing w:after="80" w:before="80"/>
        <w:pBdr>
          <w:bottom w:val="single" w:sz="4" w:space="1" w:color="AAAAAA"/>
        </w:pBdr>
      </w:pPr>
    </w:p>
    <w:p>
      <w:pPr>
        <w:spacing w:after="40" w:before="0" w:line="250" w:lineRule="exact"/>
        <w:jc w:val="left"/>
      </w:pPr>
      <w:r>
        <w:rPr>
          <w:rFonts w:ascii="Calibri" w:hAnsi="Calibri"/>
          <w:b/>
          <w:color w:val="005A9C"/>
          <w:sz w:val="19"/>
        </w:rPr>
        <w:t>TƏHSİL</w:t>
      </w:r>
    </w:p>
    <w:p>
      <w:pPr>
        <w:spacing w:after="80" w:before="0" w:line="250" w:lineRule="exact"/>
        <w:jc w:val="left"/>
      </w:pPr>
      <w:r>
        <w:rPr>
          <w:rFonts w:ascii="Calibri" w:hAnsi="Calibri"/>
          <w:b w:val="0"/>
          <w:color w:val="212529"/>
          <w:sz w:val="18"/>
        </w:rPr>
        <w:t>Bakı Dövlət Universiteti  —  Tətbiqi Riyaziyyat üzrə Bakalavr</w:t>
      </w:r>
    </w:p>
    <w:p>
      <w:pPr>
        <w:spacing w:after="40" w:before="0" w:line="250" w:lineRule="exact"/>
        <w:jc w:val="left"/>
      </w:pPr>
      <w:r>
        <w:rPr>
          <w:rFonts w:ascii="Calibri" w:hAnsi="Calibri"/>
          <w:b/>
          <w:color w:val="005A9C"/>
          <w:sz w:val="19"/>
        </w:rPr>
        <w:t>DİLLƏR</w:t>
      </w:r>
    </w:p>
    <w:p>
      <w:pPr>
        <w:spacing w:after="40" w:before="0" w:line="250" w:lineRule="exact"/>
        <w:jc w:val="left"/>
      </w:pPr>
      <w:r>
        <w:rPr>
          <w:rFonts w:ascii="Calibri" w:hAnsi="Calibri"/>
          <w:b w:val="0"/>
          <w:color w:val="212529"/>
          <w:sz w:val="18"/>
        </w:rPr>
        <w:t>Azərbaycan (Ana dili)  |  Rus (Sərbəst)  |  İngilis (Peşəkar / Texniki Sənədləşmə)</w:t>
      </w:r>
    </w:p>
    <w:sectPr w:rsidR="00FC693F" w:rsidRPr="0006063C" w:rsidSect="00034616">
      <w:pgSz w:w="12240" w:h="15840"/>
      <w:pgMar w:top="720" w:right="1008" w:bottom="57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