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p>
      <w:r>
        <w:t>Q41  I have a question about Jira tasks. When I create tasks in Jira, should the task names be the same as the names in the documents? For example, a developer gets a task to create a database table or a Java class. How should Jira tasks be created? What should the task title be, what should the description contain? Is there a standard way to create Jira tasks?</w:t>
      </w:r>
    </w:p>
    <w:p>
      <w:r>
        <w:t>This is a very practical question. Every BA works with Jira, and every BA struggles with this at first. Let me explain the complete approach to creating Jira tasks.</w:t>
      </w:r>
    </w:p>
    <w:p>
      <w:r>
        <w:t>First, let me answer your main question: should the Jira task name be the same as the document name? The answer is no. They serve different purposes. The document name describes the business requirement. The Jira task name describes the work the developer needs to do. These are different things.</w:t>
      </w:r>
    </w:p>
    <w:p>
      <w:r>
        <w:t>Let me give you an example to make this clear. In the BRD, you have BR-001: "Online Return Request Submission." In the User Stories, you have US-001: "As a registered customer, I want to submit a return request through the website." Now, in Jira, the Epic is called "Return Management System." The Story in Jira has the title: "Implement return request submission form." Inside that story, there are sub-tasks. One sub-task says: "Create database table for return requests." Another sub-task says: "Build REST API endpoint POST /api/v1/returns." Another says: "Design return request form UI component." Notice the difference. The BRD talks about business needs. The Jira tasks talk about technical work.</w:t>
      </w:r>
    </w:p>
    <w:p>
      <w:r>
        <w:t>Now, let me explain how to create Jira tasks properly. There are four levels in Jira that you need to understand.</w:t>
      </w:r>
    </w:p>
    <w:p>
      <w:r>
        <w:t>Level 1: Epic. The Epic is the big container. It represents the entire project or a major feature. For the Return Management System, the Epic name is simply "Return Management System - Phase 1." The Epic has a description that summarizes the project scope, taken from the BRD executive summary.</w:t>
      </w:r>
    </w:p>
    <w:p>
      <w:r>
        <w:t>Level 2: Story. Each User Story from your User Stories document becomes a Jira Story. The Story title is not the User Story text. The Story title is a short, actionable summary. The full User Story text goes into the Story description. So the title is: "Implement return request submission." The description contains the full User Story: "As a registered customer, I want to submit a return request through the website, so that I do not need to visit the store physically." Below the User Story, you also paste the Acceptance Criteria from the AC document.</w:t>
      </w:r>
    </w:p>
    <w:p>
      <w:r>
        <w:t>Level 3: Sub-task. This is where the BA breaks down the Story into technical tasks. The developer does not decide what sub-tasks to create. The BA creates the sub-tasks based on the FRD and the System Design. This is important. The BA reads the FRD and the System Design, and from that information, creates specific tasks. For example, sub-task 1: "Create database table: returns (columns: return_id, order_id, customer_id, status, created_at, updated_at)." Sub-task 2: "Implement REST API POST /api/v1/returns (see FRD FR-001, OpenAPI spec)." Sub-task 3: "Build frontend form: return request page with product selection, reason dropdown, photo upload." Sub-task 4: "Implement email notification on successful return submission." Each sub-task references the specific document section that the developer needs to read.</w:t>
      </w:r>
    </w:p>
    <w:p>
      <w:r>
        <w:t>Level 4: Bug. Bugs are created during testing. They are not planned tasks. They get their own issue type. The bug title describes the problem, not the fix. For example: "Return request form crashes when photo exceeds 5 MB" is a good bug title. "Fix photo upload validation" is a bad bug title because it assumes the fix.</w:t>
      </w:r>
    </w:p>
    <w:p>
      <w:r>
        <w:t>Now, there is a standard format for writing Jira task descriptions. Every Jira task, whether it is a Story or a sub-task, should contain five elements.</w:t>
      </w:r>
    </w:p>
    <w:p>
      <w:r>
        <w:t>Element 1: Title. Short and specific. The developer should read the title and immediately know what this task is about. Bad title: "Work on returns." Good title: "Create returns database table with columns for order, customer, items, and status."</w:t>
      </w:r>
    </w:p>
    <w:p>
      <w:r>
        <w:t>Element 2: Description. This is the most important part. The description tells the developer everything they need to know to do the work without calling you. It contains three sections. Context: one or two sentences explaining why this task exists. Reference: links to the FRD section, API spec, or design document that the developer needs to read. Acceptance Criteria: what does "done" look like for this specific task.</w:t>
      </w:r>
    </w:p>
    <w:p>
      <w:r>
        <w:t>Element 3: Reference Links. This is critical. Every Jira task must have links to the relevant documents. Link to the BRD requirement. Link to the FRD section. Link to the API endpoint in Swagger. Link to the test cases in Postman. If the developer has a question, they should be able to click a link and find the answer in the document, not send you a message.</w:t>
      </w:r>
    </w:p>
    <w:p>
      <w:r>
        <w:t>Element 4: Assignee. The BA assigns sub-tasks to the appropriate developer. The backend sub-tasks go to the backend developer. The frontend sub-tasks go to the frontend developer. If you are not sure who should do it, assign it to the lead developer and let them distribute.</w:t>
      </w:r>
    </w:p>
    <w:p>
      <w:r>
        <w:t>Element 5: Sprint and Story Points. The BA does not estimate story points alone. Story points are estimated during Sprint Planning by the development team. The BA presents the task, the team discusses it, and the team assigns the points. The BA only suggests the priority.</w:t>
      </w:r>
    </w:p>
    <w:p>
      <w:r>
        <w:t>Let me give you one complete example of how a Jira Story looks in practice.</w:t>
      </w:r>
    </w:p>
    <w:p>
      <w:r>
        <w:t>Title: "Implement return eligibility check functionality"</w:t>
        <w:br/>
        <w:t>Description:</w:t>
        <w:br/>
        <w:t>"Context: As part of the Return Management System, customers must be able to check if their order is eligible for return before submitting a return request. This is US-002 from the User Stories document.</w:t>
        <w:br/>
        <w:t>User Story: As a registered customer, I want the system to automatically check if my order is eligible for return, so that I know whether I can submit a return request.</w:t>
        <w:br/>
        <w:t>Acceptance Criteria:</w:t>
        <w:br/>
        <w:t>AC-006: System checks delivery date is within 14 days.</w:t>
        <w:br/>
        <w:t>AC-007: System checks item category is returnable.</w:t>
        <w:br/>
        <w:t>AC-008: System checks customer has not exceeded 3 returns per month.</w:t>
        <w:br/>
        <w:t>AC-009: System displays ineligible reason when any check fails.</w:t>
        <w:br/>
        <w:t>AC-010: System shows estimated refund amount when all checks pass.</w:t>
        <w:br/>
        <w:t>References:</w:t>
        <w:br/>
        <w:t>- FRD: FR-002 (Return Eligibility Check)</w:t>
        <w:br/>
        <w:t>- API Spec: GET /api/v1/returns/eligibility</w:t>
        <w:br/>
        <w:t>- BRD: BR-002 (Automated Eligibility Check)</w:t>
        <w:br/>
        <w:t>- Postman Tests: Collection 'Eligibility Check Tests'"</w:t>
        <w:br/>
        <w:t>Assignee: Tural (Backend Developer)</w:t>
        <w:br/>
        <w:t>Sprint: Sprint 1</w:t>
        <w:br/>
        <w:t>Story Points: 5 (estimated by team)</w:t>
      </w:r>
    </w:p>
    <w:p>
      <w:r>
        <w:t>And under this Story, the sub-tasks would be:</w:t>
        <w:br/>
        <w:t>1. "Create eligibility_rules database table" - assigned to backend</w:t>
        <w:br/>
        <w:t>2. "Implement eligibility check service class" - assigned to backend</w:t>
        <w:br/>
        <w:t>3. "Build eligibility check API endpoint" - assigned to backend</w:t>
        <w:br/>
        <w:t>4. "Create eligibility result display component" - assigned to frontend</w:t>
        <w:br/>
        <w:t>5. "Write unit tests for eligibility rules" - assigned to QA</w:t>
      </w:r>
    </w:p>
    <w:p>
      <w:r>
        <w:t>So to answer your question: Jira task names do not need to match document names. The Jira task name describes the technical work. But the Jira task description must reference the document sections. This is the connection. The document is the source of truth. The Jira task is the execution tool. They are connected through references, not through matching names.</w:t>
      </w:r>
    </w:p>
    <w:p>
      <w:r>
        <w:t>One last important point. Never create a Jira task that says "implement BR-001." This tells the developer nothing. The developer should not have to read the BRD to understand what to do. The Jira task description should contain everything the developer needs. The BRD link is there for additional context, not as the primary source of information for the task. The BA is the translator. You read the BRD, you understand it, and you write the Jira task in a way the developer can immediately start working.</w:t>
      </w:r>
    </w:p>
    <w:p>
      <w:pPr>
        <w:spacing w:before="480" w:after="240"/>
        <w:pBdr>
          <w:bottom w:val="single" w:sz="4" w:space="1" w:color="005A9C"/>
        </w:pBdr>
      </w:pPr>
    </w:p>
    <w:p>
      <w:pPr>
        <w:spacing w:after="240"/>
      </w:pPr>
      <w:r>
        <w:rPr>
          <w:rFonts w:ascii="Calibri" w:hAnsi="Calibri"/>
          <w:b/>
          <w:color w:val="005A9C"/>
          <w:sz w:val="26"/>
        </w:rPr>
        <w:t>Terms of Reference (ToR) and Service Design Document (SDD) - LMAS Project</w:t>
      </w:r>
    </w:p>
    <w:p>
      <w:pPr>
        <w:spacing w:before="360" w:after="80" w:line="280" w:lineRule="exact"/>
        <w:pBdr>
          <w:bottom w:val="single" w:sz="1" w:space="1" w:color="DDDDDD"/>
        </w:pBdr>
      </w:pPr>
      <w:r>
        <w:rPr>
          <w:rFonts w:ascii="Calibri" w:hAnsi="Calibri"/>
          <w:b/>
          <w:color w:val="1A1A1A"/>
          <w:sz w:val="22"/>
        </w:rPr>
        <w:t>Q42</w:t>
      </w:r>
      <w:r>
        <w:rPr>
          <w:rFonts w:ascii="Calibri" w:hAnsi="Calibri"/>
          <w:color w:val="1A1A1A"/>
          <w:sz w:val="22"/>
        </w:rPr>
        <w:t xml:space="preserve">  In a BA project, you already have a BRD that describes the business requirements and scope. Why do you need a separate Terms of Reference document? What does the ToR cover that the BRD does not?</w:t>
      </w:r>
    </w:p>
    <w:p>
      <w:pPr>
        <w:spacing w:after="120" w:line="280" w:lineRule="exact"/>
      </w:pPr>
      <w:r>
        <w:rPr>
          <w:rFonts w:ascii="Calibri" w:hAnsi="Calibri"/>
          <w:color w:val="2C2C2C"/>
          <w:sz w:val="22"/>
        </w:rPr>
        <w:t>This is a very practical question, and the answer explains a common confusion. The BRD and the ToR serve completely different purposes, and you need both.</w:t>
      </w:r>
    </w:p>
    <w:p>
      <w:pPr>
        <w:spacing w:after="120" w:line="280" w:lineRule="exact"/>
      </w:pPr>
      <w:r>
        <w:rPr>
          <w:rFonts w:ascii="Calibri" w:hAnsi="Calibri"/>
          <w:color w:val="2C2C2C"/>
          <w:sz w:val="22"/>
        </w:rPr>
        <w:t>The BRD answers the question: "What does the business need?" It describes the business goals, the stakeholder requirements, the functional and non-functional requirements, and the success criteria. The BRD is written from the business perspective. When you read a BRD, you understand what problem we are solving and what the expected outcome looks like.</w:t>
      </w:r>
    </w:p>
    <w:p>
      <w:pPr>
        <w:spacing w:after="120" w:line="280" w:lineRule="exact"/>
      </w:pPr>
      <w:r>
        <w:rPr>
          <w:rFonts w:ascii="Calibri" w:hAnsi="Calibri"/>
          <w:color w:val="2C2C2C"/>
          <w:sz w:val="22"/>
        </w:rPr>
        <w:t>The ToR answers a different question: "How will this project be organized and governed?" The ToR defines the project boundaries, who is responsible for what, what the timeline is, what the governance structure looks like, and what the constraints are. The ToR is written from the project management perspective.</w:t>
      </w:r>
    </w:p>
    <w:p>
      <w:pPr>
        <w:spacing w:after="120" w:line="280" w:lineRule="exact"/>
      </w:pPr>
      <w:r>
        <w:rPr>
          <w:rFonts w:ascii="Calibri" w:hAnsi="Calibri"/>
          <w:color w:val="2C2C2C"/>
          <w:sz w:val="22"/>
        </w:rPr>
        <w:t>Let me give you a concrete example. In the LMAS project for the State Employment Agency, the BRD says: "Citizens must be able to submit employment service applications through digital channels." This is a business requirement. The ToR says: "The BA Lead is responsible for writing the FRD by the end of Phase 2, and the Product Owner must approve it before development starts." This is a project governance rule.</w:t>
      </w:r>
    </w:p>
    <w:p>
      <w:pPr>
        <w:spacing w:after="120" w:line="280" w:lineRule="exact"/>
      </w:pPr>
      <w:r>
        <w:rPr>
          <w:rFonts w:ascii="Calibri" w:hAnsi="Calibri"/>
          <w:color w:val="2C2C2C"/>
          <w:sz w:val="22"/>
        </w:rPr>
        <w:t>Here is a simple way to think about it. The BRD defines the "what" and the "why." The ToR defines the "who, when and how." Without a BRD, the team does not know what to build. Without a ToR, the team does not know who decides what, when things are due, and how decisions are made.</w:t>
      </w:r>
    </w:p>
    <w:p>
      <w:pPr>
        <w:spacing w:after="120" w:line="280" w:lineRule="exact"/>
      </w:pPr>
      <w:r>
        <w:rPr>
          <w:rFonts w:ascii="Calibri" w:hAnsi="Calibri"/>
          <w:color w:val="2C2C2C"/>
          <w:sz w:val="22"/>
        </w:rPr>
        <w:t>In government projects like LMAS, the ToR is especially important because multiple government organizations are involved. The ToR makes it clear which agency provides data, who approves requirements, who signs off on deliverables and how disagreements are resolved. Without this clarity, a multi-agency project can easily get stuck.</w:t>
      </w:r>
    </w:p>
    <w:p>
      <w:pPr>
        <w:spacing w:before="360" w:after="80" w:line="280" w:lineRule="exact"/>
        <w:pBdr>
          <w:bottom w:val="single" w:sz="1" w:space="1" w:color="DDDDDD"/>
        </w:pBdr>
      </w:pPr>
      <w:r>
        <w:rPr>
          <w:rFonts w:ascii="Calibri" w:hAnsi="Calibri"/>
          <w:b/>
          <w:color w:val="1A1A1A"/>
          <w:sz w:val="22"/>
        </w:rPr>
        <w:t>Q43</w:t>
      </w:r>
      <w:r>
        <w:rPr>
          <w:rFonts w:ascii="Calibri" w:hAnsi="Calibri"/>
          <w:color w:val="1A1A1A"/>
          <w:sz w:val="22"/>
        </w:rPr>
        <w:t xml:space="preserve">  What is the correct structure of a Terms of Reference? What sections should it contain and in what order?</w:t>
      </w:r>
    </w:p>
    <w:p>
      <w:pPr>
        <w:spacing w:after="120" w:line="280" w:lineRule="exact"/>
      </w:pPr>
      <w:r>
        <w:rPr>
          <w:rFonts w:ascii="Calibri" w:hAnsi="Calibri"/>
          <w:color w:val="2C2C2C"/>
          <w:sz w:val="22"/>
        </w:rPr>
        <w:t>A ToR has a standard structure that most government and enterprise projects follow. In my LMAS ToR, I used ten main sections. Let me walk through each one.</w:t>
      </w:r>
    </w:p>
    <w:p>
      <w:pPr>
        <w:spacing w:after="120" w:line="280" w:lineRule="exact"/>
      </w:pPr>
      <w:r>
        <w:rPr>
          <w:rFonts w:ascii="Calibri" w:hAnsi="Calibri"/>
          <w:color w:val="2C2C2C"/>
          <w:sz w:val="22"/>
        </w:rPr>
        <w:t>Section 1 is Introduction. This includes the document purpose, the background of why the project exists, and definitions of abbreviations. The introduction sets the context for everyone who reads the document. It answers: why are we doing this project?</w:t>
      </w:r>
    </w:p>
    <w:p>
      <w:pPr>
        <w:spacing w:after="120" w:line="280" w:lineRule="exact"/>
      </w:pPr>
      <w:r>
        <w:rPr>
          <w:rFonts w:ascii="Calibri" w:hAnsi="Calibri"/>
          <w:color w:val="2C2C2C"/>
          <w:sz w:val="22"/>
        </w:rPr>
        <w:t>Section 2 is Project Objectives. This is where you define the strategic goal and the specific measurable objectives. Each objective has an ID, a name and a description. For example, OBJ-05 in my LMAS ToR says: "Reduce average service processing time from 14 calendar days to 5 business days." You also include success criteria with specific targets here.</w:t>
      </w:r>
    </w:p>
    <w:p>
      <w:pPr>
        <w:spacing w:after="120" w:line="280" w:lineRule="exact"/>
      </w:pPr>
      <w:r>
        <w:rPr>
          <w:rFonts w:ascii="Calibri" w:hAnsi="Calibri"/>
          <w:color w:val="2C2C2C"/>
          <w:sz w:val="22"/>
        </w:rPr>
        <w:t>Section 3 is Project Scope. This is one of the most important sections. It has four parts: in-scope items, out-of-scope items, assumptions and constraints. The in-scope list defines what the project will deliver. The out-of-scope list is equally important because it prevents scope creep. Assumptions are things you believe to be true but have not verified yet. Constraints are limitations you cannot change, like budget limits or regulatory requirements.</w:t>
      </w:r>
    </w:p>
    <w:p>
      <w:pPr>
        <w:spacing w:after="120" w:line="280" w:lineRule="exact"/>
      </w:pPr>
      <w:r>
        <w:rPr>
          <w:rFonts w:ascii="Calibri" w:hAnsi="Calibri"/>
          <w:color w:val="2C2C2C"/>
          <w:sz w:val="22"/>
        </w:rPr>
        <w:t>Section 4 is Deliverables. This is a complete list of every document, system and report that the project will produce. Each deliverable has an ID, a description, the phase when it is due and the person responsible. In my ToR, I listed 14 deliverables: 8 business analysis deliverables like ToR, BRD, SDD, FRD, SRS, API Specifications, BPMN models and UAT Plan, and 6 technical deliverables like the system architecture, database schema, Telegram bot and web portal.</w:t>
      </w:r>
    </w:p>
    <w:p>
      <w:pPr>
        <w:spacing w:after="120" w:line="280" w:lineRule="exact"/>
      </w:pPr>
      <w:r>
        <w:rPr>
          <w:rFonts w:ascii="Calibri" w:hAnsi="Calibri"/>
          <w:color w:val="2C2C2C"/>
          <w:sz w:val="22"/>
        </w:rPr>
        <w:t>Section 5 is Project Timeline. This shows the phased approach with milestones. In my LMAS ToR, I defined 4 phases across 12 months with 8 key milestones. Each milestone has a date and a description of what "done" looks like.</w:t>
      </w:r>
    </w:p>
    <w:p>
      <w:pPr>
        <w:spacing w:after="120" w:line="280" w:lineRule="exact"/>
      </w:pPr>
      <w:r>
        <w:rPr>
          <w:rFonts w:ascii="Calibri" w:hAnsi="Calibri"/>
          <w:color w:val="2C2C2C"/>
          <w:sz w:val="22"/>
        </w:rPr>
        <w:t>Section 6 is Team Structure and Roles. This defines every role in the project, which organization they come from and what their responsibilities are. It also includes the governance structure: steering committee meetings, sprint reviews and stakeholder syncs with defined frequency and participants.</w:t>
      </w:r>
    </w:p>
    <w:p>
      <w:pPr>
        <w:spacing w:after="120" w:line="280" w:lineRule="exact"/>
      </w:pPr>
      <w:r>
        <w:rPr>
          <w:rFonts w:ascii="Calibri" w:hAnsi="Calibri"/>
          <w:color w:val="2C2C2C"/>
          <w:sz w:val="22"/>
        </w:rPr>
        <w:t>Section 7 is Stakeholder Communication. This is a detailed communication plan that says who you communicate with, through what channel, how often and about what topics. For example, "Steering Committee meets monthly to review project status, risks and budget."</w:t>
      </w:r>
    </w:p>
    <w:p>
      <w:pPr>
        <w:spacing w:after="120" w:line="280" w:lineRule="exact"/>
      </w:pPr>
      <w:r>
        <w:rPr>
          <w:rFonts w:ascii="Calibri" w:hAnsi="Calibri"/>
          <w:color w:val="2C2C2C"/>
          <w:sz w:val="22"/>
        </w:rPr>
        <w:t>Section 8 is Risk Management. This includes a risk register with probability, impact and mitigation for each risk, plus an escalation path for when risks become critical issues.</w:t>
      </w:r>
    </w:p>
    <w:p>
      <w:pPr>
        <w:spacing w:after="120" w:line="280" w:lineRule="exact"/>
      </w:pPr>
      <w:r>
        <w:rPr>
          <w:rFonts w:ascii="Calibri" w:hAnsi="Calibri"/>
          <w:color w:val="2C2C2C"/>
          <w:sz w:val="22"/>
        </w:rPr>
        <w:t>Section 9 is Quality Standards. This defines documentation standards, development standards and acceptance criteria for deliverables.</w:t>
      </w:r>
    </w:p>
    <w:p>
      <w:pPr>
        <w:spacing w:after="120" w:line="280" w:lineRule="exact"/>
      </w:pPr>
      <w:r>
        <w:rPr>
          <w:rFonts w:ascii="Calibri" w:hAnsi="Calibri"/>
          <w:color w:val="2C2C2C"/>
          <w:sz w:val="22"/>
        </w:rPr>
        <w:t>Section 10 is Approval. This includes a signature table where each stakeholder signs to confirm their agreement with the ToR, plus a revision history table.</w:t>
      </w:r>
    </w:p>
    <w:p>
      <w:pPr>
        <w:spacing w:before="360" w:after="80" w:line="280" w:lineRule="exact"/>
        <w:pBdr>
          <w:bottom w:val="single" w:sz="1" w:space="1" w:color="DDDDDD"/>
        </w:pBdr>
      </w:pPr>
      <w:r>
        <w:rPr>
          <w:rFonts w:ascii="Calibri" w:hAnsi="Calibri"/>
          <w:b/>
          <w:color w:val="1A1A1A"/>
          <w:sz w:val="22"/>
        </w:rPr>
        <w:t>Q44</w:t>
      </w:r>
      <w:r>
        <w:rPr>
          <w:rFonts w:ascii="Calibri" w:hAnsi="Calibri"/>
          <w:color w:val="1A1A1A"/>
          <w:sz w:val="22"/>
        </w:rPr>
        <w:t xml:space="preserve">  You already have a BRD that covers business requirements and scope. You also have a Gap Analysis that covers As-Is and To-Be processes. Why do you need a separate Service Design Document? What does the SDD cover that the BRD and Gap Analysis do not?</w:t>
      </w:r>
    </w:p>
    <w:p>
      <w:pPr>
        <w:spacing w:after="120" w:line="280" w:lineRule="exact"/>
      </w:pPr>
      <w:r>
        <w:rPr>
          <w:rFonts w:ascii="Calibri" w:hAnsi="Calibri"/>
          <w:color w:val="2C2C2C"/>
          <w:sz w:val="22"/>
        </w:rPr>
        <w:t>This is the most important question about the SDD, because it is the document that people understand the least. Let me explain the difference clearly.</w:t>
      </w:r>
    </w:p>
    <w:p>
      <w:pPr>
        <w:spacing w:after="120" w:line="280" w:lineRule="exact"/>
      </w:pPr>
      <w:r>
        <w:rPr>
          <w:rFonts w:ascii="Calibri" w:hAnsi="Calibri"/>
          <w:color w:val="2C2C2C"/>
          <w:sz w:val="22"/>
        </w:rPr>
        <w:t>The BRD answers: "What does the business need?" It talks about business goals, stakeholders, scope and requirements. The Gap Analysis answers: "What is wrong with the current process and what should the future process look like?" It shows the As-Is state and the To-Be state at the process level.</w:t>
      </w:r>
    </w:p>
    <w:p>
      <w:pPr>
        <w:spacing w:after="120" w:line="280" w:lineRule="exact"/>
      </w:pPr>
      <w:r>
        <w:rPr>
          <w:rFonts w:ascii="Calibri" w:hAnsi="Calibri"/>
          <w:color w:val="2C2C2C"/>
          <w:sz w:val="22"/>
        </w:rPr>
        <w:t>The SDD answers a completely different question: "How should the citizen experience this service from start to finish?" The SDD takes the citizen perspective and designs the complete service experience, not just the process or the requirements.</w:t>
      </w:r>
    </w:p>
    <w:p>
      <w:pPr>
        <w:spacing w:after="120" w:line="280" w:lineRule="exact"/>
      </w:pPr>
      <w:r>
        <w:rPr>
          <w:rFonts w:ascii="Calibri" w:hAnsi="Calibri"/>
          <w:color w:val="2C2C2C"/>
          <w:sz w:val="22"/>
        </w:rPr>
        <w:t>Let me explain with the LMAS example. The BRD says: "The system shall allow citizens to submit employment service applications through digital channels." The Gap Analysis shows the As-Is process: citizen visits office, waits in queue, submits paper form. And the To-Be process: citizen opens Telegram bot, fills digital form, system validates data automatically.</w:t>
      </w:r>
    </w:p>
    <w:p>
      <w:pPr>
        <w:spacing w:after="120" w:line="280" w:lineRule="exact"/>
      </w:pPr>
      <w:r>
        <w:rPr>
          <w:rFonts w:ascii="Calibri" w:hAnsi="Calibri"/>
          <w:color w:val="2C2C2C"/>
          <w:sz w:val="22"/>
        </w:rPr>
        <w:t>But none of these documents answer the following questions: Who is the citizen using this service? What is their life situation? What are their pain points? What channels do they prefer? What happens at each interaction point? How do multiple government agencies coordinate behind the scenes to deliver this service? What SLA targets should we set? How do we measure if the service is good?</w:t>
      </w:r>
    </w:p>
    <w:p>
      <w:pPr>
        <w:spacing w:after="120" w:line="280" w:lineRule="exact"/>
      </w:pPr>
      <w:r>
        <w:rPr>
          <w:rFonts w:ascii="Calibri" w:hAnsi="Calibri"/>
          <w:color w:val="2C2C2C"/>
          <w:sz w:val="22"/>
        </w:rPr>
        <w:t>These are exactly the questions the SDD answers. The SDD has several unique sections that do not exist in the BRD or Gap Analysis.</w:t>
      </w:r>
    </w:p>
    <w:p>
      <w:pPr>
        <w:spacing w:after="120" w:line="280" w:lineRule="exact"/>
      </w:pPr>
      <w:r>
        <w:rPr>
          <w:rFonts w:ascii="Calibri" w:hAnsi="Calibri"/>
          <w:color w:val="2C2C2C"/>
          <w:sz w:val="22"/>
        </w:rPr>
        <w:t>First, User Research and Personas. The SDD starts by defining who the users are. In my LMAS SDD, I created three personas: a young job seeker who is comfortable with technology, a mid-career worker who recently lost their job and needs guidance, and an employer who wants to post vacancies online. The BRD mentions stakeholders, but it does not go deep into user profiles and behavioral patterns.</w:t>
      </w:r>
    </w:p>
    <w:p>
      <w:pPr>
        <w:spacing w:after="120" w:line="280" w:lineRule="exact"/>
      </w:pPr>
      <w:r>
        <w:rPr>
          <w:rFonts w:ascii="Calibri" w:hAnsi="Calibri"/>
          <w:color w:val="2C2C2C"/>
          <w:sz w:val="22"/>
        </w:rPr>
        <w:t>Second, Service Journey Analysis. The Gap Analysis shows the As-Is and To-Be processes, but the SDD goes deeper. It maps the complete citizen journey including emotional states, pain points at each stage and improvement opportunities. The journey analysis is more detailed because it includes the citizen experience, not just the process steps.</w:t>
      </w:r>
    </w:p>
    <w:p>
      <w:pPr>
        <w:spacing w:after="120" w:line="280" w:lineRule="exact"/>
      </w:pPr>
      <w:r>
        <w:rPr>
          <w:rFonts w:ascii="Calibri" w:hAnsi="Calibri"/>
          <w:color w:val="2C2C2C"/>
          <w:sz w:val="22"/>
        </w:rPr>
        <w:t>Third, Service Blueprint. This is unique to the SDD. A service blueprint maps the relationship between what the citizen sees and what happens behind the scenes. It has five layers: physical evidence, citizen actions, front-stage activities, back-stage activities and support systems. Neither the BRD nor the Gap Analysis provides this multi-layer view.</w:t>
      </w:r>
    </w:p>
    <w:p>
      <w:pPr>
        <w:spacing w:after="120" w:line="280" w:lineRule="exact"/>
      </w:pPr>
      <w:r>
        <w:rPr>
          <w:rFonts w:ascii="Calibri" w:hAnsi="Calibri"/>
          <w:color w:val="2C2C2C"/>
          <w:sz w:val="22"/>
        </w:rPr>
        <w:t>Fourth, Service Channels and Touchpoints. The SDD defines which channels will be used (Telegram bot, web portal, ASAN Service centers) and what happens at each touchpoint. The BRD might mention channels, but the SDD designs the complete channel strategy with target volumes for each channel.</w:t>
      </w:r>
    </w:p>
    <w:p>
      <w:pPr>
        <w:spacing w:after="120" w:line="280" w:lineRule="exact"/>
      </w:pPr>
      <w:r>
        <w:rPr>
          <w:rFonts w:ascii="Calibri" w:hAnsi="Calibri"/>
          <w:color w:val="2C2C2C"/>
          <w:sz w:val="22"/>
        </w:rPr>
        <w:t>Fifth, Multi-Agency Coordination Model. For government services, this is critical. The SDD defines which agencies are involved, what data they provide, what their role is and how they coordinate. The BRD mentions stakeholders but does not design the coordination model.</w:t>
      </w:r>
    </w:p>
    <w:p>
      <w:pPr>
        <w:spacing w:after="120" w:line="280" w:lineRule="exact"/>
      </w:pPr>
      <w:r>
        <w:rPr>
          <w:rFonts w:ascii="Calibri" w:hAnsi="Calibri"/>
          <w:color w:val="2C2C2C"/>
          <w:sz w:val="22"/>
        </w:rPr>
        <w:t>Sixth, SLA and KPI Framework. The SDD defines specific service level agreements and key performance indicators with measurable targets. For example, SLA-03 says: "Application processing within 5 business days with 90% compliance." KPI-05 says: "Citizen satisfaction score of 4.0 out of 5.0." The BRD might mention success criteria, but the SDD creates a complete monitoring framework.</w:t>
      </w:r>
    </w:p>
    <w:p>
      <w:pPr>
        <w:spacing w:after="120" w:line="280" w:lineRule="exact"/>
      </w:pPr>
      <w:r>
        <w:rPr>
          <w:rFonts w:ascii="Calibri" w:hAnsi="Calibri"/>
          <w:color w:val="2C2C2C"/>
          <w:sz w:val="22"/>
        </w:rPr>
        <w:t>Seventh, Service Portfolio Alignment. The SDD checks how the new service fits into the existing portfolio of government services and ensures alignment with national digital government standards. This strategic alignment is not covered by the BRD or Gap Analysis.</w:t>
      </w:r>
    </w:p>
    <w:p>
      <w:pPr>
        <w:spacing w:after="120" w:line="280" w:lineRule="exact"/>
      </w:pPr>
      <w:r>
        <w:rPr>
          <w:rFonts w:ascii="Calibri" w:hAnsi="Calibri"/>
          <w:color w:val="2C2C2C"/>
          <w:sz w:val="22"/>
        </w:rPr>
        <w:t>So in summary: the BRD defines requirements, the Gap Analysis defines process improvements, and the SDD designs the complete citizen service experience including who uses it, how they experience it, what channels deliver it, how agencies coordinate, and how we measure success.</w:t>
      </w:r>
    </w:p>
    <w:p>
      <w:pPr>
        <w:spacing w:before="360" w:after="80" w:line="280" w:lineRule="exact"/>
        <w:pBdr>
          <w:bottom w:val="single" w:sz="1" w:space="1" w:color="DDDDDD"/>
        </w:pBdr>
      </w:pPr>
      <w:r>
        <w:rPr>
          <w:rFonts w:ascii="Calibri" w:hAnsi="Calibri"/>
          <w:b/>
          <w:color w:val="1A1A1A"/>
          <w:sz w:val="22"/>
        </w:rPr>
        <w:t>Q45</w:t>
      </w:r>
      <w:r>
        <w:rPr>
          <w:rFonts w:ascii="Calibri" w:hAnsi="Calibri"/>
          <w:color w:val="1A1A1A"/>
          <w:sz w:val="22"/>
        </w:rPr>
        <w:t xml:space="preserve">  What is the correct structure of a Service Design Document? What sections should it contain?</w:t>
      </w:r>
    </w:p>
    <w:p>
      <w:pPr>
        <w:spacing w:after="120" w:line="280" w:lineRule="exact"/>
      </w:pPr>
      <w:r>
        <w:rPr>
          <w:rFonts w:ascii="Calibri" w:hAnsi="Calibri"/>
          <w:color w:val="2C2C2C"/>
          <w:sz w:val="22"/>
        </w:rPr>
        <w:t>A Service Design Document follows a design thinking approach, not a traditional requirements approach. In my LMAS SDD, I used fifteen sections organized into four logical groups.</w:t>
      </w:r>
    </w:p>
    <w:p>
      <w:pPr>
        <w:spacing w:after="120" w:line="280" w:lineRule="exact"/>
      </w:pPr>
      <w:r>
        <w:rPr>
          <w:rFonts w:ascii="Calibri" w:hAnsi="Calibri"/>
          <w:color w:val="2C2C2C"/>
          <w:sz w:val="22"/>
        </w:rPr>
        <w:t>The first group is Discovery. This includes sections 1 through 4. Section 1 is Executive Summary, which gives a one-page overview of the entire service design for busy decision-makers. Section 2 is Service Vision and Objectives, which defines the long-term vision, strategic objectives and measurable success metrics. Section 3 is Service Context and Stakeholder Analysis, which maps all stakeholders, their roles and how you communicate with each group. Section 4 is User Research and Personas, which documents your research findings, key insights and three to five citizen personas with their needs, behaviors and pain points.</w:t>
      </w:r>
    </w:p>
    <w:p>
      <w:pPr>
        <w:spacing w:after="120" w:line="280" w:lineRule="exact"/>
      </w:pPr>
      <w:r>
        <w:rPr>
          <w:rFonts w:ascii="Calibri" w:hAnsi="Calibri"/>
          <w:color w:val="2C2C2C"/>
          <w:sz w:val="22"/>
        </w:rPr>
        <w:t>The second group is Design. This includes sections 5 through 9. Section 5 is As-Is Service Journey Analysis, which maps the current citizen journey stage by stage with pain points at each stage. Section 6 is To-Be Service Design, which describes the redesigned service journey with improvements at each stage and design principles that guide all decisions. Section 7 is Service Blueprint, which creates a five-layer view connecting citizen actions to front-stage, back-stage and support systems. Section 8 is Service Channels and Touchpoints, which defines the channel strategy and designs each interaction point. Section 9 is Multi-Agency Coordination Model, which defines how government agencies share data, their roles and the integration architecture.</w:t>
      </w:r>
    </w:p>
    <w:p>
      <w:pPr>
        <w:spacing w:after="120" w:line="280" w:lineRule="exact"/>
      </w:pPr>
      <w:r>
        <w:rPr>
          <w:rFonts w:ascii="Calibri" w:hAnsi="Calibri"/>
          <w:color w:val="2C2C2C"/>
          <w:sz w:val="22"/>
        </w:rPr>
        <w:t>The third group is Standards. This includes sections 10 through 12. Section 10 is Service Standards, which defines SLA targets for each service stage and KPI indicators with specific measurable targets. Section 11 is Service Portfolio Alignment, which checks how the service fits into the broader government service portfolio and national digital standards. Section 12 is Process Architecture, which defines the three levels of process design: strategic, tactical and operational.</w:t>
      </w:r>
    </w:p>
    <w:p>
      <w:pPr>
        <w:spacing w:after="120" w:line="280" w:lineRule="exact"/>
      </w:pPr>
      <w:r>
        <w:rPr>
          <w:rFonts w:ascii="Calibri" w:hAnsi="Calibri"/>
          <w:color w:val="2C2C2C"/>
          <w:sz w:val="22"/>
        </w:rPr>
        <w:t>The fourth group is Delivery. This includes sections 13 through 15. Section 13 is Implementation Roadmap, which plans the phased delivery approach with milestones and dependencies. Section 14 is Risks and Dependencies, which includes a risk register with mitigation strategies. Section 15 is Glossary, which defines all key terms used in the document.</w:t>
      </w:r>
    </w:p>
    <w:p>
      <w:pPr>
        <w:spacing w:after="120" w:line="280" w:lineRule="exact"/>
      </w:pPr>
      <w:r>
        <w:rPr>
          <w:rFonts w:ascii="Calibri" w:hAnsi="Calibri"/>
          <w:color w:val="2C2C2C"/>
          <w:sz w:val="22"/>
        </w:rPr>
        <w:t>One important thing to note: the SDD is not a technical document. It does not contain database schemas, API endpoints or code-level specifications. Those belong in the SRS and API Specification. The SDD is a design document that focuses on the citizen experience and service delivery model.</w:t>
      </w:r>
    </w:p>
    <w:p>
      <w:pPr>
        <w:spacing w:before="360" w:after="80" w:line="280" w:lineRule="exact"/>
        <w:pBdr>
          <w:bottom w:val="single" w:sz="1" w:space="1" w:color="DDDDDD"/>
        </w:pBdr>
      </w:pPr>
      <w:r>
        <w:rPr>
          <w:rFonts w:ascii="Calibri" w:hAnsi="Calibri"/>
          <w:b/>
          <w:color w:val="1A1A1A"/>
          <w:sz w:val="22"/>
        </w:rPr>
        <w:t>Q46</w:t>
      </w:r>
      <w:r>
        <w:rPr>
          <w:rFonts w:ascii="Calibri" w:hAnsi="Calibri"/>
          <w:color w:val="1A1A1A"/>
          <w:sz w:val="22"/>
        </w:rPr>
        <w:t xml:space="preserve">  You prepared both a ToR and an SDD for the LMAS project. How do these two documents relate to each other? Which one comes first and how do they connect?</w:t>
      </w:r>
    </w:p>
    <w:p>
      <w:pPr>
        <w:spacing w:after="120" w:line="280" w:lineRule="exact"/>
      </w:pPr>
      <w:r>
        <w:rPr>
          <w:rFonts w:ascii="Calibri" w:hAnsi="Calibri"/>
          <w:color w:val="2C2C2C"/>
          <w:sz w:val="22"/>
        </w:rPr>
        <w:t>The ToR comes first, and the SDD comes second. They have a parent-child relationship where the ToR sets the boundaries and the SDD fills in the design details.</w:t>
      </w:r>
    </w:p>
    <w:p>
      <w:pPr>
        <w:spacing w:after="120" w:line="280" w:lineRule="exact"/>
      </w:pPr>
      <w:r>
        <w:rPr>
          <w:rFonts w:ascii="Calibri" w:hAnsi="Calibri"/>
          <w:color w:val="2C2C2C"/>
          <w:sz w:val="22"/>
        </w:rPr>
        <w:t>Think of it like building a house. The ToR is like the building permit and the project plan. It says: we are building a three-bedroom house on this plot of land, with this budget, this timeline and these people responsible. It defines what you are allowed to build and how the project will be managed.</w:t>
      </w:r>
    </w:p>
    <w:p>
      <w:pPr>
        <w:spacing w:after="120" w:line="280" w:lineRule="exact"/>
      </w:pPr>
      <w:r>
        <w:rPr>
          <w:rFonts w:ascii="Calibri" w:hAnsi="Calibri"/>
          <w:color w:val="2C2C2C"/>
          <w:sz w:val="22"/>
        </w:rPr>
        <w:t>The SDD is like the architectural design. It says: the living room will be here, the kitchen will face east for morning sunlight, the entrance will have these features for wheelchair accessibility and the garden will be designed for family gatherings. It designs the experience of living in the house.</w:t>
      </w:r>
    </w:p>
    <w:p>
      <w:pPr>
        <w:spacing w:after="120" w:line="280" w:lineRule="exact"/>
      </w:pPr>
      <w:r>
        <w:rPr>
          <w:rFonts w:ascii="Calibri" w:hAnsi="Calibri"/>
          <w:color w:val="2C2C2C"/>
          <w:sz w:val="22"/>
        </w:rPr>
        <w:t>In the LMAS project, the ToR says: "OBJ-01: Enable citizens to submit employment service applications through digital channels." This is a project objective with scope and timeline. The SDD then designs how this actually works: which channels, what the citizen journey looks like, what touchpoints the citizen interacts with, what happens behind the scenes and how success is measured.</w:t>
      </w:r>
    </w:p>
    <w:p>
      <w:pPr>
        <w:spacing w:after="120" w:line="280" w:lineRule="exact"/>
      </w:pPr>
      <w:r>
        <w:rPr>
          <w:rFonts w:ascii="Calibri" w:hAnsi="Calibri"/>
          <w:color w:val="2C2C2C"/>
          <w:sz w:val="22"/>
        </w:rPr>
        <w:t>The ToR also defines the deliverables list. In my ToR, deliverable D-03 is the SDD itself. So the ToR creates the requirement to produce the SDD, defines who is responsible and sets the deadline. The SDD then fulfills this requirement.</w:t>
      </w:r>
    </w:p>
    <w:p>
      <w:pPr>
        <w:spacing w:after="120" w:line="280" w:lineRule="exact"/>
      </w:pPr>
      <w:r>
        <w:rPr>
          <w:rFonts w:ascii="Calibri" w:hAnsi="Calibri"/>
          <w:color w:val="2C2C2C"/>
          <w:sz w:val="22"/>
        </w:rPr>
        <w:t>Another connection is the scope. The ToR defines what is in-scope and out-of-scope. The SDD must stay within these boundaries. For example, my ToR says that a mobile native application is out of scope for Phase 1. So the SDD designs the service for Telegram bot and web portal only, not for a mobile app. If the SDD started designing a mobile app experience, that would be a scope violation.</w:t>
      </w:r>
    </w:p>
    <w:p>
      <w:pPr>
        <w:spacing w:after="120" w:line="280" w:lineRule="exact"/>
      </w:pPr>
      <w:r>
        <w:rPr>
          <w:rFonts w:ascii="Calibri" w:hAnsi="Calibri"/>
          <w:color w:val="2C2C2C"/>
          <w:sz w:val="22"/>
        </w:rPr>
        <w:t>The risk register in the ToR also connects to the SDD. For example, ToR risk R-03 says: "Low citizen adoption of digital channels." The SDD addresses this risk by designing a simplified onboarding experience in the citizen journey and by defining ASAN Service centers as a fallback channel for citizens who cannot use digital channels.</w:t>
      </w:r>
    </w:p>
    <w:p>
      <w:pPr>
        <w:spacing w:after="120" w:line="280" w:lineRule="exact"/>
      </w:pPr>
      <w:r>
        <w:rPr>
          <w:rFonts w:ascii="Calibri" w:hAnsi="Calibri"/>
          <w:color w:val="2C2C2C"/>
          <w:sz w:val="22"/>
        </w:rPr>
        <w:t>So the relationship is: ToR defines the project frame and governance. SDD designs the service within that frame. ToR is the first document you write. SDD comes after, and it must respect the scope, timeline and constraints defined in the ToR.</w:t>
      </w:r>
    </w:p>
    <w:p>
      <w:pPr>
        <w:spacing w:before="360" w:after="80" w:line="280" w:lineRule="exact"/>
        <w:pBdr>
          <w:bottom w:val="single" w:sz="1" w:space="1" w:color="DDDDDD"/>
        </w:pBdr>
      </w:pPr>
      <w:r>
        <w:rPr>
          <w:rFonts w:ascii="Calibri" w:hAnsi="Calibri"/>
          <w:b/>
          <w:color w:val="1A1A1A"/>
          <w:sz w:val="22"/>
        </w:rPr>
        <w:t>Q47</w:t>
      </w:r>
      <w:r>
        <w:rPr>
          <w:rFonts w:ascii="Calibri" w:hAnsi="Calibri"/>
          <w:color w:val="1A1A1A"/>
          <w:sz w:val="22"/>
        </w:rPr>
        <w:t xml:space="preserve">  You have prepared many BA documents: ToR, BRD, SDD, FRD, SRS, User Stories, API Specifications, BPMN models and UAT Plan. In what order do you prepare them and why?</w:t>
      </w:r>
    </w:p>
    <w:p>
      <w:pPr>
        <w:spacing w:after="120" w:line="280" w:lineRule="exact"/>
      </w:pPr>
      <w:r>
        <w:rPr>
          <w:rFonts w:ascii="Calibri" w:hAnsi="Calibri"/>
          <w:color w:val="2C2C2C"/>
          <w:sz w:val="22"/>
        </w:rPr>
        <w:t>There is a logical order, but in practice some documents overlap. Let me explain the ideal order and then how it works in reality.</w:t>
      </w:r>
    </w:p>
    <w:p>
      <w:pPr>
        <w:spacing w:after="120" w:line="280" w:lineRule="exact"/>
      </w:pPr>
      <w:r>
        <w:rPr>
          <w:rFonts w:ascii="Calibri" w:hAnsi="Calibri"/>
          <w:color w:val="2C2C2C"/>
          <w:sz w:val="22"/>
        </w:rPr>
        <w:t>The ideal order follows a waterfall approach within each phase. Phase 1 starts with the ToR, because you cannot start a project without defining the scope, objectives, governance and timeline. The ToR gets approved by the steering committee. Then you write the BRD, which defines the business requirements in detail. Then you write the SDD, which designs the service experience. Then you create BPMN models for the As-Is and To-Be processes. All of these happen in Phase 1.</w:t>
      </w:r>
    </w:p>
    <w:p>
      <w:pPr>
        <w:spacing w:after="120" w:line="280" w:lineRule="exact"/>
      </w:pPr>
      <w:r>
        <w:rPr>
          <w:rFonts w:ascii="Calibri" w:hAnsi="Calibri"/>
          <w:color w:val="2C2C2C"/>
          <w:sz w:val="22"/>
        </w:rPr>
        <w:t>Phase 2 is when you write the FRD, which converts business requirements into detailed functional requirements with user stories and acceptance criteria. Then you write the SRS, which adds technical system requirements. Then you write the API Specifications for all integrations. These happen in Phase 2.</w:t>
      </w:r>
    </w:p>
    <w:p>
      <w:pPr>
        <w:spacing w:after="120" w:line="280" w:lineRule="exact"/>
      </w:pPr>
      <w:r>
        <w:rPr>
          <w:rFonts w:ascii="Calibri" w:hAnsi="Calibri"/>
          <w:color w:val="2C2C2C"/>
          <w:sz w:val="22"/>
        </w:rPr>
        <w:t>Phase 3 is when you prepare the UAT Plan and execute testing with stakeholders.</w:t>
      </w:r>
    </w:p>
    <w:p>
      <w:pPr>
        <w:spacing w:after="120" w:line="280" w:lineRule="exact"/>
      </w:pPr>
      <w:r>
        <w:rPr>
          <w:rFonts w:ascii="Calibri" w:hAnsi="Calibri"/>
          <w:color w:val="2C2C2C"/>
          <w:sz w:val="22"/>
        </w:rPr>
        <w:t>So the ideal order is: ToR, BRD, SDD, BPMN, FRD, SRS, API Spec, UAT Plan.</w:t>
      </w:r>
    </w:p>
    <w:p>
      <w:pPr>
        <w:spacing w:after="120" w:line="280" w:lineRule="exact"/>
      </w:pPr>
      <w:r>
        <w:rPr>
          <w:rFonts w:ascii="Calibri" w:hAnsi="Calibri"/>
          <w:color w:val="2C2C2C"/>
          <w:sz w:val="22"/>
        </w:rPr>
        <w:t>But in reality, some documents are written in parallel. For example, I usually start the BRD and the SDD at the same time because they inform each other. When I write a BRD requirement like "citizens must be able to track application status," this influences the SDD service journey design. And when I design the citizen journey in the SDD, I often discover new requirements that need to go into the BRD. So I work on both documents and update them as I go.</w:t>
      </w:r>
    </w:p>
    <w:p>
      <w:pPr>
        <w:spacing w:after="120" w:line="280" w:lineRule="exact"/>
      </w:pPr>
      <w:r>
        <w:rPr>
          <w:rFonts w:ascii="Calibri" w:hAnsi="Calibri"/>
          <w:color w:val="2C2C2C"/>
          <w:sz w:val="22"/>
        </w:rPr>
        <w:t>The same is true for the FRD and SRS. The FRD defines the functional requirements, and the SRS adds the technical details. These two documents are closely connected, and I usually work on them together.</w:t>
      </w:r>
    </w:p>
    <w:p>
      <w:pPr>
        <w:spacing w:after="120" w:line="280" w:lineRule="exact"/>
      </w:pPr>
      <w:r>
        <w:rPr>
          <w:rFonts w:ascii="Calibri" w:hAnsi="Calibri"/>
          <w:color w:val="2C2C2C"/>
          <w:sz w:val="22"/>
        </w:rPr>
        <w:t>One important rule I follow: the ToR must be completed and approved first before any other document. The ToR defines the project boundaries, and if you start writing the BRD without an approved ToR, you risk writing requirements for things that are out of scope or missing things that are in scope.</w:t>
      </w:r>
    </w:p>
    <w:p>
      <w:pPr>
        <w:spacing w:after="120" w:line="280" w:lineRule="exact"/>
      </w:pPr>
      <w:r>
        <w:rPr>
          <w:rFonts w:ascii="Calibri" w:hAnsi="Calibri"/>
          <w:color w:val="2C2C2C"/>
          <w:sz w:val="22"/>
        </w:rPr>
        <w:t>Another rule: the UAT Plan is always the last document. You cannot plan testing until all requirements are defined and documented.</w:t>
      </w:r>
    </w:p>
    <w:p>
      <w:pPr>
        <w:spacing w:before="360" w:after="80" w:line="280" w:lineRule="exact"/>
        <w:pBdr>
          <w:bottom w:val="single" w:sz="1" w:space="1" w:color="DDDDDD"/>
        </w:pBdr>
      </w:pPr>
      <w:r>
        <w:rPr>
          <w:rFonts w:ascii="Calibri" w:hAnsi="Calibri"/>
          <w:b/>
          <w:color w:val="1A1A1A"/>
          <w:sz w:val="22"/>
        </w:rPr>
        <w:t>Q48</w:t>
      </w:r>
      <w:r>
        <w:rPr>
          <w:rFonts w:ascii="Calibri" w:hAnsi="Calibri"/>
          <w:color w:val="1A1A1A"/>
          <w:sz w:val="22"/>
        </w:rPr>
        <w:t xml:space="preserve">  The Innovation Agency uses Service Design methodology. How does your SDD document reflect Service Design methodology, and what Service Design tools and techniques did you use?</w:t>
      </w:r>
    </w:p>
    <w:p>
      <w:pPr>
        <w:spacing w:after="120" w:line="280" w:lineRule="exact"/>
      </w:pPr>
      <w:r>
        <w:rPr>
          <w:rFonts w:ascii="Calibri" w:hAnsi="Calibri"/>
          <w:color w:val="2C2C2C"/>
          <w:sz w:val="22"/>
        </w:rPr>
        <w:t>Service Design is a methodology that puts the citizen at the center of the design process. Instead of designing services from the institution perspective, you design them from the citizen perspective. My SDD uses several Service Design tools and techniques to apply this methodology.</w:t>
      </w:r>
    </w:p>
    <w:p>
      <w:pPr>
        <w:spacing w:after="120" w:line="280" w:lineRule="exact"/>
      </w:pPr>
      <w:r>
        <w:rPr>
          <w:rFonts w:ascii="Calibri" w:hAnsi="Calibri"/>
          <w:color w:val="2C2C2C"/>
          <w:sz w:val="22"/>
        </w:rPr>
        <w:t>The first tool is User Research. In Service Design, you always start with research before design. In my SDD, section 4 documents the user research I conducted: 12 stakeholder interviews and analysis of 200+ citizen feedback records. This research identified six key findings about citizen pain points, which directly influenced all design decisions.</w:t>
      </w:r>
    </w:p>
    <w:p>
      <w:pPr>
        <w:spacing w:after="120" w:line="280" w:lineRule="exact"/>
      </w:pPr>
      <w:r>
        <w:rPr>
          <w:rFonts w:ascii="Calibri" w:hAnsi="Calibri"/>
          <w:color w:val="2C2C2C"/>
          <w:sz w:val="22"/>
        </w:rPr>
        <w:t>The second tool is Personas. Personas are fictional characters that represent real user groups. They help the design team think about real people instead of abstract requirements. In my SDD, I created three personas based on the research data: a young job seeker, a mid-career worker and an employer. Each persona has specific needs, behaviors and pain points that the service design must address.</w:t>
      </w:r>
    </w:p>
    <w:p>
      <w:pPr>
        <w:spacing w:after="120" w:line="280" w:lineRule="exact"/>
      </w:pPr>
      <w:r>
        <w:rPr>
          <w:rFonts w:ascii="Calibri" w:hAnsi="Calibri"/>
          <w:color w:val="2C2C2C"/>
          <w:sz w:val="22"/>
        </w:rPr>
        <w:t>The third tool is Service Journey Mapping. This is one of the most important Service Design tools. A journey map shows every step a citizen takes from the moment they become aware of a service to the moment they receive the result. In my SDD, sections 5 and 6 contain the As-Is and To-Be journey maps. The As-Is map shows seven stages of the current process with pain points at each stage. The To-Be map shows the redesigned seven stages with specific improvements.</w:t>
      </w:r>
    </w:p>
    <w:p>
      <w:pPr>
        <w:spacing w:after="120" w:line="280" w:lineRule="exact"/>
      </w:pPr>
      <w:r>
        <w:rPr>
          <w:rFonts w:ascii="Calibri" w:hAnsi="Calibri"/>
          <w:color w:val="2C2C2C"/>
          <w:sz w:val="22"/>
        </w:rPr>
        <w:t>The fourth tool is Service Blueprinting. A service blueprint is like an x-ray of the service. It shows five layers: what the citizen sees (physical evidence), what the citizen does (actions), what happens in front of the citizen (front-stage), what happens behind the scenes (back-stage) and what systems support everything (support systems). In my SDD, section 7 contains the service blueprint that maps all five layers.</w:t>
      </w:r>
    </w:p>
    <w:p>
      <w:pPr>
        <w:spacing w:after="120" w:line="280" w:lineRule="exact"/>
      </w:pPr>
      <w:r>
        <w:rPr>
          <w:rFonts w:ascii="Calibri" w:hAnsi="Calibri"/>
          <w:color w:val="2C2C2C"/>
          <w:sz w:val="22"/>
        </w:rPr>
        <w:t>The fifth tool is Life-Event Based Design. This is a Service Design approach where services are organized around key life events instead of government departments. Instead of saying "these are the services the employment agency provides," you say "when a citizen loses their job, these are all the services they need." In my SDD, I applied this approach by designing the service around the life event of unemployment rather than around agency departments.</w:t>
      </w:r>
    </w:p>
    <w:p>
      <w:pPr>
        <w:spacing w:after="120" w:line="280" w:lineRule="exact"/>
      </w:pPr>
      <w:r>
        <w:rPr>
          <w:rFonts w:ascii="Calibri" w:hAnsi="Calibri"/>
          <w:color w:val="2C2C2C"/>
          <w:sz w:val="22"/>
        </w:rPr>
        <w:t>The sixth tool is Multi-Channel Design. Citizens should be able to access services through multiple channels: Telegram bot for quick interactions, web portal for complex tasks, ASAN centers for exceptional cases. My SDD section 8 designs the channel strategy with target volumes for each channel.</w:t>
      </w:r>
    </w:p>
    <w:p>
      <w:pPr>
        <w:spacing w:after="120" w:line="280" w:lineRule="exact"/>
      </w:pPr>
      <w:r>
        <w:rPr>
          <w:rFonts w:ascii="Calibri" w:hAnsi="Calibri"/>
          <w:color w:val="2C2C2C"/>
          <w:sz w:val="22"/>
        </w:rPr>
        <w:t>The seventh tool is SLA and KPI Design. Service Design is not only about designing the service but also about measuring its performance. My SDD section 10 defines six SLAs and seven KPIs with specific measurable targets. This is the "how do we know the design works" part of Service Design.</w:t>
      </w:r>
    </w:p>
    <w:p>
      <w:pPr>
        <w:spacing w:after="120" w:line="280" w:lineRule="exact"/>
      </w:pPr>
      <w:r>
        <w:rPr>
          <w:rFonts w:ascii="Calibri" w:hAnsi="Calibri"/>
          <w:color w:val="2C2C2C"/>
          <w:sz w:val="22"/>
        </w:rPr>
        <w:t>So my SDD is not just a document. It is the output of applying Service Design methodology to a real government service. Each section uses a specific Service Design tool to ensure the final service is citizen-centered, measurable and aligned across multiple agencies.</w:t>
      </w:r>
    </w:p>
    <w:p>
      <w:r>
        <w:rPr>
          <w:b/>
          <w:sz w:val="22"/>
        </w:rPr>
        <w:t xml:space="preserve">Q49  </w:t>
      </w:r>
      <w:r>
        <w:rPr>
          <w:sz w:val="22"/>
        </w:rPr>
        <w:t>The Innovation Agency wants to consolidate government services from individual agency applications into the MyGov platform. What does service consolidation mean for a Business Analyst, and what are the main challenges?</w:t>
      </w:r>
    </w:p>
    <w:p>
      <w:r>
        <w:rPr>
          <w:sz w:val="22"/>
        </w:rPr>
        <w:t>Service consolidation means bringing services that are currently delivered through separate agency platforms, such as the Azersu mobile app or the Ministry of Culture portal, into one unified platform called MyGov. Instead of a citizen downloading ten different apps for ten different services, they use one platform for all government services.</w:t>
      </w:r>
    </w:p>
    <w:p>
      <w:r>
        <w:rPr>
          <w:sz w:val="22"/>
        </w:rPr>
        <w:t>This concept is not new. The United Kingdom did this with GOV.UK, consolidating over 300 government websites into one portal. Estonia did it with e-Estonia, bringing all public services under a single digital platform. India did it with the UMANG app, integrating services from 120-plus central and state government departments. In each case, the BA played a central role in analyzing, planning and executing the consolidation.</w:t>
      </w:r>
    </w:p>
    <w:p>
      <w:r>
        <w:rPr>
          <w:sz w:val="22"/>
        </w:rPr>
        <w:t>For a Business Analyst, service consolidation involves several major activities. First, service inventory: you must catalog every service that each government agency currently provides digitally. This means meeting with every agency, understanding their service list, and documenting each service with its current process, delivery channel, backend system, data sources and user volume. Many agencies do not have a complete or up-to-date service catalog, so this step alone can take months.</w:t>
      </w:r>
    </w:p>
    <w:p>
      <w:r>
        <w:rPr>
          <w:sz w:val="22"/>
        </w:rPr>
        <w:t>Second, prioritization: you cannot migrate 500 services at once. You need a prioritization framework based on factors like citizen demand, technical complexity, agency readiness and strategic importance. High-volume, high-impact services with technically ready agencies should come first. This requires close coordination with agency leadership and the Innovation Agency steering committee.</w:t>
      </w:r>
    </w:p>
    <w:p>
      <w:r>
        <w:rPr>
          <w:sz w:val="22"/>
        </w:rPr>
        <w:t>Third, integration design: each agency has different backend systems, different data formats and different levels of technical maturity. The BA must define the interoperability requirements between MyGov and each agency system, including API standards, data exchange protocols, security requirements and authentication methods. Some agencies have modern REST APIs, while others still use legacy systems with no API at all.</w:t>
      </w:r>
    </w:p>
    <w:p>
      <w:r>
        <w:rPr>
          <w:sz w:val="22"/>
        </w:rPr>
        <w:t>The main challenges are both technical and organizational. On the technical side, legacy systems without APIs, inconsistent data models across agencies, and security concerns about cross-agency data exchange are the biggest obstacles. On the organizational side, agency resistance is the hardest challenge. Many agencies see their digital platforms as a symbol of their institutional identity and independence. Convincing them to migrate their services to MyGov requires strong political support, clear communication of benefits and sometimes formal government mandates.</w:t>
      </w:r>
    </w:p>
    <w:p>
      <w:r>
        <w:rPr>
          <w:b/>
          <w:sz w:val="22"/>
        </w:rPr>
        <w:t xml:space="preserve">Q50  </w:t>
      </w:r>
      <w:r>
        <w:rPr>
          <w:sz w:val="22"/>
        </w:rPr>
        <w:t>What is an interoperability layer, and why is it important for the MyGov platform?</w:t>
      </w:r>
    </w:p>
    <w:p>
      <w:r>
        <w:rPr>
          <w:sz w:val="22"/>
        </w:rPr>
        <w:t>An interoperability layer is a technical middleware that enables different systems to communicate with each other. Think of it as a universal translator. When Agency A speaks one technical language and Agency B speaks a different language, the interoperability layer sits between them and translates so they can exchange data seamlessly.</w:t>
      </w:r>
    </w:p>
    <w:p>
      <w:r>
        <w:rPr>
          <w:sz w:val="22"/>
        </w:rPr>
        <w:t>In the context of MyGov, the interoperability layer is the component that connects the MyGov front-end platform to the backend systems of all government agencies. When a citizen submits a service request through MyGov, the interoperability layer routes this request to the correct agency system, translates the data format, handles authentication and returns the response back to MyGov.</w:t>
      </w:r>
    </w:p>
    <w:p>
      <w:r>
        <w:rPr>
          <w:sz w:val="22"/>
        </w:rPr>
        <w:t>The most famous example of an interoperability layer in the world is X-Road in Estonia. X-Road connects over 900 organizations and handles more than one billion data exchange transactions per year. Every time a citizen accesses a government service in Estonia, X-Road coordinates the data exchange between the relevant agencies behind the scenes. The citizen does not see any of this complexity; they simply see a fast, seamless service experience.</w:t>
      </w:r>
    </w:p>
    <w:p>
      <w:r>
        <w:rPr>
          <w:sz w:val="22"/>
        </w:rPr>
        <w:t>As a Business Analyst, my role in the interoperability layer is not to build it, because that is the job of the technical architects and developers. My role is to define what the interoperability layer must do. This means documenting the data exchange requirements for each agency, defining the API standards and message formats, specifying the security and authentication rules, and describing the error handling and fallback procedures. I did similar work at the Central Bank when I coordinated the integration of ten-plus government organizations into the Government Payment Portal, where I defined data exchange requirements and integration specifications for each agency and designed the interoperability layer for cross-system data exchange.</w:t>
      </w:r>
    </w:p>
    <w:p>
      <w:r>
        <w:rPr>
          <w:b/>
          <w:sz w:val="22"/>
        </w:rPr>
        <w:t xml:space="preserve">Q51  </w:t>
      </w:r>
      <w:r>
        <w:rPr>
          <w:sz w:val="22"/>
        </w:rPr>
        <w:t>What does a registry-based approach mean in digital government, and how is it different from simply calling an API?</w:t>
      </w:r>
    </w:p>
    <w:p>
      <w:r>
        <w:rPr>
          <w:sz w:val="22"/>
        </w:rPr>
        <w:t>A registry-based approach means that government data is stored in centralized, authoritative databases called registries, and all government agencies access this data through the registries instead of maintaining their own copies. The registry is the single source of truth.</w:t>
      </w:r>
    </w:p>
    <w:p>
      <w:r>
        <w:rPr>
          <w:sz w:val="22"/>
        </w:rPr>
        <w:t>For example, in Azerbaijan, the citizen registry holds basic information about every citizen: name, address, family status and identification number. When a citizen applies for a service at any agency, the agency does not ask the citizen to provide copies of their ID or proof of address. Instead, the agency system queries the citizen registry through the interoperability layer and retrieves the data automatically.</w:t>
      </w:r>
    </w:p>
    <w:p>
      <w:r>
        <w:rPr>
          <w:sz w:val="22"/>
        </w:rPr>
        <w:t>This is fundamentally different from a simple API call. With a standard API, System A calls System B to get some data. System B owns the data and System A just borrows it. With a registry-based approach, the registry is the authoritative owner of that data, and no other system stores a permanent copy. Every time any agency needs that data, they access the registry in real time.</w:t>
      </w:r>
    </w:p>
    <w:p>
      <w:r>
        <w:rPr>
          <w:sz w:val="22"/>
        </w:rPr>
        <w:t>There are several important benefits. First, data consistency: because there is only one authoritative copy, there are no conflicts between different agency databases. Second, the once-only principle: citizens do not need to submit the same information multiple times to different agencies. Third, data governance: it is clear who owns the data, who can access it and under what conditions.</w:t>
      </w:r>
    </w:p>
    <w:p>
      <w:r>
        <w:rPr>
          <w:sz w:val="22"/>
        </w:rPr>
        <w:t>In practice, I worked with registry-based data exchange at ASAN Service, where citizen data from multiple government registries was accessed to deliver services without requiring citizens to bring paper documents. This experience is directly relevant to the MyGov platform, where the same registry-based approach will be used at a larger scale across all government services.</w:t>
      </w:r>
    </w:p>
    <w:p>
      <w:r>
        <w:rPr>
          <w:b/>
          <w:sz w:val="22"/>
        </w:rPr>
        <w:t xml:space="preserve">Q52  </w:t>
      </w:r>
      <w:r>
        <w:rPr>
          <w:sz w:val="22"/>
        </w:rPr>
        <w:t>What is the once-only principle in digital government, and how does it affect how you design services for MyGov?</w:t>
      </w:r>
    </w:p>
    <w:p>
      <w:r>
        <w:rPr>
          <w:sz w:val="22"/>
        </w:rPr>
        <w:t>The once-only principle is a fundamental rule of digital government that says: citizens and businesses should only have to provide the same information to the government once. If you already submitted your address to one agency, no other agency should ask you for your address again. They should retrieve it from the relevant registry or database.</w:t>
      </w:r>
    </w:p>
    <w:p>
      <w:r>
        <w:rPr>
          <w:sz w:val="22"/>
        </w:rPr>
        <w:t>This principle is actually a legal requirement in the European Union, under the EU Digital Single Market regulations. Estonia was one of the first countries to implement it fully. In Estonia, when you submit any information to any government agency, that information is automatically available to all other agencies through the X-Road interoperability layer. Citizens never have to fill in the same data twice.</w:t>
      </w:r>
    </w:p>
    <w:p>
      <w:r>
        <w:rPr>
          <w:sz w:val="22"/>
        </w:rPr>
        <w:t>For the MyGov platform, the once-only principle has a direct impact on how I design services. When I write the SDD for a service migration to MyGov, I must analyze every data field in the current service form and ask: is this data already available in a government registry? If yes, then the MyGov service should not ask the citizen to enter it manually. Instead, the system should retrieve it automatically from the registry.</w:t>
      </w:r>
    </w:p>
    <w:p>
      <w:r>
        <w:rPr>
          <w:sz w:val="22"/>
        </w:rPr>
        <w:t>For example, if a citizen applies for a service through MyGov and the form asks for their full name, date of birth and address, I need to check whether this data exists in the citizen registry. If it does, I design the service so that these fields are pre-populated from the registry and the citizen only needs to verify them, not type them. This reduces form filling time, reduces errors and improves the citizen experience.</w:t>
      </w:r>
    </w:p>
    <w:p>
      <w:r>
        <w:rPr>
          <w:sz w:val="22"/>
        </w:rPr>
        <w:t>There are practical challenges, of course. Not all data exists in registries. Some agencies still rely on paper-based records. Some registries are not connected to the interoperability layer. And there are data privacy and consent concerns: citizens must be informed about which agencies are accessing their data and must give their consent. As a BA, I need to document all these constraints in the SDD and define how the service handles cases where registry data is not available.</w:t>
      </w:r>
    </w:p>
    <w:p>
      <w:r>
        <w:rPr>
          <w:b/>
          <w:sz w:val="22"/>
        </w:rPr>
        <w:t xml:space="preserve">Q53  </w:t>
      </w:r>
      <w:r>
        <w:rPr>
          <w:sz w:val="22"/>
        </w:rPr>
        <w:t>When migrating hundreds of services from individual agency platforms to MyGov, how do you decide which services to migrate first?</w:t>
      </w:r>
    </w:p>
    <w:p>
      <w:r>
        <w:rPr>
          <w:sz w:val="22"/>
        </w:rPr>
        <w:t>This is one of the most important decisions in a service consolidation project, and the answer is: you need a structured prioritization framework. You cannot migrate services randomly or based on which agency complains the loudest. You need objective criteria.</w:t>
      </w:r>
    </w:p>
    <w:p>
      <w:r>
        <w:rPr>
          <w:sz w:val="22"/>
        </w:rPr>
        <w:t>I use a multi-factor prioritization matrix. The first factor is citizen demand, which means how many citizens use this service and how frequently. A service that ten thousand citizens use every day should clearly be migrated before a service that fifty citizens use once a year. I can measure this using analytics data from the current agency platforms.</w:t>
      </w:r>
    </w:p>
    <w:p>
      <w:r>
        <w:rPr>
          <w:sz w:val="22"/>
        </w:rPr>
        <w:t>The second factor is citizen impact, which means how much the citizen experience improves after migration. If a service currently requires three physical office visits and ten paper documents, migrating it to MyGov will have a huge impact. If a service is already available online and works well, the impact of migration is smaller, even if the volume is high.</w:t>
      </w:r>
    </w:p>
    <w:p>
      <w:r>
        <w:rPr>
          <w:sz w:val="22"/>
        </w:rPr>
        <w:t>The third factor is technical complexity. Some services are simple: one form, one database, one approval step. These can be migrated quickly. Other services require integration with five different backend systems, real-time data exchange and complex business rules. These take much longer. I need to balance the value of migrating a service against the cost and time required.</w:t>
      </w:r>
    </w:p>
    <w:p>
      <w:r>
        <w:rPr>
          <w:sz w:val="22"/>
        </w:rPr>
        <w:t>The fourth factor is agency readiness. Some agencies have modern IT systems, well-documented APIs and motivated teams. They are ready to integrate with MyGov quickly. Other agencies have legacy systems, no APIs and limited IT capacity. They need more time and support. I assess agency readiness through a structured evaluation that covers technical infrastructure, data quality, documentation and organizational willingness.</w:t>
      </w:r>
    </w:p>
    <w:p>
      <w:r>
        <w:rPr>
          <w:sz w:val="22"/>
        </w:rPr>
        <w:t>The fifth factor is strategic alignment. The Innovation Agency may have political priorities or national strategy goals that influence the order. For example, if the President announced that unemployment services must be digital by a certain date, that service gets higher priority regardless of other factors.</w:t>
      </w:r>
    </w:p>
    <w:p>
      <w:r>
        <w:rPr>
          <w:sz w:val="22"/>
        </w:rPr>
        <w:t>In practice, I would create a prioritization matrix with all services listed, score each service against these five factors, and recommend a phased migration plan. Phase 1 would include high-volume, high-impact, low-complexity services from ready agencies. Phase 2 would add medium-complexity services. Phase 3 would tackle the most complex integrations. This is the same phased approach I used in the GPP project at the Central Bank, where I coordinated the integration of ten-plus organizations into a single platform in multiple phases.</w:t>
      </w:r>
    </w:p>
    <w:p>
      <w:r>
        <w:rPr>
          <w:b/>
          <w:sz w:val="22"/>
        </w:rPr>
        <w:t xml:space="preserve">Q54  </w:t>
      </w:r>
      <w:r>
        <w:rPr>
          <w:sz w:val="22"/>
        </w:rPr>
        <w:t>What is the difference between platform thinking and project thinking, and why does it matter for MyGov?</w:t>
      </w:r>
    </w:p>
    <w:p>
      <w:r>
        <w:rPr>
          <w:sz w:val="22"/>
        </w:rPr>
        <w:t>This is an important distinction. Project thinking means you focus on delivering one specific service or one specific feature. You define the requirements, you build it, you test it and you deliver it. Your success is measured by whether that one service works correctly. This is how most BA work has traditionally been done.</w:t>
      </w:r>
    </w:p>
    <w:p>
      <w:r>
        <w:rPr>
          <w:sz w:val="22"/>
        </w:rPr>
        <w:t>Platform thinking means you focus on building a foundation that can support many services, now and in the future. You are not building one service; you are building the infrastructure, standards and reusable components that allow hundreds of services to be added efficiently over time. Your success is measured by how easily new services can be added to the platform.</w:t>
      </w:r>
    </w:p>
    <w:p>
      <w:r>
        <w:rPr>
          <w:sz w:val="22"/>
        </w:rPr>
        <w:t>Let me give you a concrete example. In project thinking, if you need to build an online application form for a specific service, you design the form, build it and deploy it. Done. In platform thinking, you design a generic form engine that can generate any type of government service form. The first service uses this engine, the second service uses the same engine, and the fiftieth service also uses the same engine. You invest more time in the beginning, but each additional service becomes cheaper and faster to deploy.</w:t>
      </w:r>
    </w:p>
    <w:p>
      <w:r>
        <w:rPr>
          <w:sz w:val="22"/>
        </w:rPr>
        <w:t>The same logic applies to other components. Instead of building a payment integration for one service, you build a shared payment gateway that all services use. Instead of building a notification system for one agency, you build a central notification service that any agency can connect to. Instead of building user authentication for each service, you build a single sign-on system that works across all services on MyGov.</w:t>
      </w:r>
    </w:p>
    <w:p>
      <w:r>
        <w:rPr>
          <w:sz w:val="22"/>
        </w:rPr>
        <w:t>For a Business Analyst, platform thinking changes how I write requirements. Instead of writing requirements that are specific to one service, I try to write requirements that define reusable patterns and standards. For example, instead of saying 'the employment service application form shall have five fields,' I say 'all service application forms on the MyGov platform shall follow the standard form design template defined in the MyGov Design System, with agency-specific fields defined in the service configuration.'</w:t>
      </w:r>
    </w:p>
    <w:p>
      <w:r>
        <w:rPr>
          <w:sz w:val="22"/>
        </w:rPr>
        <w:t>This approach requires more upfront analysis and more abstract thinking, but it pays off enormously when you are dealing with hundreds of services. It ensures consistency across services, reduces development costs over time and makes the platform easier to maintain and scale.</w:t>
      </w:r>
    </w:p>
    <w:p>
      <w:r>
        <w:rPr>
          <w:b/>
          <w:sz w:val="22"/>
        </w:rPr>
        <w:t xml:space="preserve">Q55  </w:t>
      </w:r>
      <w:r>
        <w:rPr>
          <w:sz w:val="22"/>
        </w:rPr>
        <w:t>In a service consolidation project, how do you handle agency resistance to migrating their services to MyGov?</w:t>
      </w:r>
    </w:p>
    <w:p>
      <w:r>
        <w:rPr>
          <w:sz w:val="22"/>
        </w:rPr>
        <w:t>Agency resistance is the single biggest risk in any service consolidation project, and it is completely understandable. When an agency has spent years building their digital platform, training their team and establishing their online presence, being told to migrate everything to a shared platform feels like losing control, losing visibility and losing institutional identity.</w:t>
      </w:r>
    </w:p>
    <w:p>
      <w:r>
        <w:rPr>
          <w:sz w:val="22"/>
        </w:rPr>
        <w:t>The first and most important principle is that resistance cannot be overcome by technical arguments alone. You cannot convince an agency director to migrate by showing them API documentation and system architecture diagrams. You need to speak their language and address their real concerns.</w:t>
      </w:r>
    </w:p>
    <w:p>
      <w:r>
        <w:rPr>
          <w:sz w:val="22"/>
        </w:rPr>
        <w:t>I use a stakeholder engagement approach that has four steps. The first step is listening. Before I propose anything, I schedule meetings with agency leadership and their IT teams. My goal is to understand their perspective: what do they like about their current platform? What are they proud of? What are they worried about losing? Often, their concerns are very practical. They worry about response times for their citizens. They worry about data security. They worry that their team will become irrelevant.</w:t>
      </w:r>
    </w:p>
    <w:p>
      <w:r>
        <w:rPr>
          <w:sz w:val="22"/>
        </w:rPr>
        <w:t>The second step is framing the benefits correctly. I do not say 'you must migrate because the government decided so.' Instead, I frame it as a win for the agency. I explain that by joining MyGov, their services will reach more citizens because MyGov has higher traffic than their individual app. I explain that the Innovation Agency will handle platform maintenance, which reduces their IT budget. I explain that their agency brand and service quality will still be visible within the MyGov platform.</w:t>
      </w:r>
    </w:p>
    <w:p>
      <w:r>
        <w:rPr>
          <w:sz w:val="22"/>
        </w:rPr>
        <w:t>The third step is proposing a phased transition that minimizes disruption. I never propose a hard cutover where their app is shut down on Monday and MyGov takes over on Tuesday. Instead, I propose a parallel period where both the agency app and the MyGov service run simultaneously. Citizens can choose which one to use. Over time, we gradually redirect traffic to MyGov. This gives the agency time to adapt and gives their citizens time to get used to the new channel.</w:t>
      </w:r>
    </w:p>
    <w:p>
      <w:r>
        <w:rPr>
          <w:sz w:val="22"/>
        </w:rPr>
        <w:t>The fourth step is escalation support. Sometimes, despite all efforts, an agency simply refuses to cooperate. In these cases, I document the situation, the impact on the consolidation timeline and the risks, and escalate to the Innovation Agency leadership or the relevant government authority. Political mandate is sometimes necessary, but it should always be the last resort, not the first approach.</w:t>
      </w:r>
    </w:p>
    <w:p>
      <w:r>
        <w:rPr>
          <w:sz w:val="22"/>
        </w:rPr>
        <w:t>I have direct experience with multi-agency coordination from my work at the Central Bank, where I coordinated the integration of ten-plus government organizations into the Government Payment Portal. Each organization had its own systems, its own priorities and its own concerns. My approach was always to listen first, then find the mutual benefit, then plan the transition carefully.</w:t>
      </w:r>
    </w:p>
    <w:p>
      <w:r>
        <w:rPr>
          <w:b/>
          <w:sz w:val="22"/>
        </w:rPr>
        <w:t xml:space="preserve">Q56  </w:t>
      </w:r>
      <w:r>
        <w:rPr>
          <w:sz w:val="22"/>
        </w:rPr>
        <w:t>What is a common data model, and why is it needed when multiple agencies share data through MyGov?</w:t>
      </w:r>
    </w:p>
    <w:p>
      <w:r>
        <w:rPr>
          <w:sz w:val="22"/>
        </w:rPr>
        <w:t>A common data model is a standardized way of organizing and representing data that all agencies agree to use when they exchange information through the MyGov platform. It is like a shared language for data.</w:t>
      </w:r>
    </w:p>
    <w:p>
      <w:r>
        <w:rPr>
          <w:sz w:val="22"/>
        </w:rPr>
        <w:t>Let me explain the problem first. Every government agency has its own way of storing and naming data. One agency might call a citizen address field 'citizen_address', another might call it 'residence_location', and a third might split it into 'street_name', 'house_number' and 'city' as separate fields. When these agencies need to exchange data, these differences cause confusion, errors and integration failures.</w:t>
      </w:r>
    </w:p>
    <w:p>
      <w:r>
        <w:rPr>
          <w:sz w:val="22"/>
        </w:rPr>
        <w:t>The common data model solves this problem by defining standard field names, standard data types, standard formats and standard code lists that all agencies must follow when exchanging data through MyGov. For example, the common data model defines that every citizen record must have a field called 'address_line_1' in text format, a field called 'postal_code' in five-digit format, and so on.</w:t>
      </w:r>
    </w:p>
    <w:p>
      <w:r>
        <w:rPr>
          <w:sz w:val="22"/>
        </w:rPr>
        <w:t>For a Business Analyst, creating and maintaining the common data model is a significant part of the job. I need to analyze the data structures of each agency, identify the common elements, resolve conflicts and agree on a standard format with all stakeholders. This requires many workshops with agency IT teams and data architects.</w:t>
      </w:r>
    </w:p>
    <w:p>
      <w:r>
        <w:rPr>
          <w:sz w:val="22"/>
        </w:rPr>
        <w:t>The common data model is especially important for MyGov because the platform needs to display data from multiple agencies in a unified way to the citizen. When a citizen logs into MyGov and sees their profile, they expect to see their information correctly formatted and consistent, regardless of which agency provided the data. The common data model makes this possible.</w:t>
      </w:r>
    </w:p>
    <w:p>
      <w:r>
        <w:rPr>
          <w:sz w:val="22"/>
        </w:rPr>
        <w:t>My experience at ASAN Service and the Central Bank prepared me well for this work. At the Government Payment Portal, I defined data exchange requirements and integration specifications for each agency, which required understanding each agency's data model and creating a standardized format for cross-system data exchange. This is essentially what a common data model does at a larger scale for the MyGov platform.</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