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 w:line="276"/>
        <w:jc w:val="left"/>
      </w:pPr>
      <w:r>
        <w:rPr>
          <w:rFonts w:ascii="Calibri" w:eastAsia="Microsoft YaHei"/>
          <w:b/>
          <w:bCs/>
          <w:color w:val="1A1A1A"/>
          <w:spacing w:val="120"/>
          <w:sz w:val="34"/>
          <w:szCs w:val="34"/>
        </w:rPr>
        <w:t xml:space="preserve">ZAMIR JAMALOV</w:t>
      </w:r>
    </w:p>
    <w:p>
      <w:pPr>
        <w:spacing w:after="50" w:before="0" w:line="276"/>
      </w:pPr>
      <w:r>
        <w:rPr>
          <w:rFonts w:ascii="Calibri" w:eastAsia="Microsoft YaHei"/>
          <w:color w:val="2A6496"/>
          <w:sz w:val="21"/>
          <w:szCs w:val="21"/>
        </w:rPr>
        <w:t xml:space="preserve">IT Business Analyst  |  E-Commerce &amp; Fintech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260" w:hRule="atLeas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+994 55 207 7228</w:t>
            </w:r>
            <w:r>
              <w:rPr>
                <w:rFonts w:ascii="Calibri" w:eastAsia="Microsoft YaHei"/>
                <w:color w:val="CCCCCC"/>
                <w:sz w:val="16"/>
                <w:szCs w:val="16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jamalov.zamir@gmail.com</w:t>
            </w:r>
            <w:r>
              <w:rPr>
                <w:rFonts w:ascii="Calibri" w:eastAsia="Microsoft YaHei"/>
                <w:color w:val="CCCCCC"/>
                <w:sz w:val="16"/>
                <w:szCs w:val="16"/>
              </w:rPr>
              <w:t xml:space="preserve">   |   </w:t>
            </w:r>
            <w:r>
              <w:rPr>
                <w:rFonts w:ascii="Calibri" w:eastAsia="Microsoft YaHei"/>
                <w:color w:val="777777"/>
                <w:sz w:val="16"/>
                <w:szCs w:val="16"/>
              </w:rPr>
              <w:t xml:space="preserve">Baku, Azerbaijan</w:t>
            </w:r>
          </w:p>
        </w:tc>
      </w:tr>
    </w:tbl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PROFILE SUMMARY</w:t>
            </w:r>
          </w:p>
        </w:tc>
      </w:tr>
    </w:tbl>
    <w:p>
      <w:pPr>
        <w:spacing w:after="0" w:before="30"/>
      </w:pPr>
    </w:p>
    <w:p>
      <w:pPr>
        <w:spacing w:after="16" w:before="16" w:line="260"/>
        <w:jc w:val="both"/>
      </w:pPr>
      <w:r>
        <w:rPr>
          <w:rFonts w:ascii="Calibri" w:eastAsia="Microsoft YaHei"/>
          <w:color w:val="333333"/>
          <w:sz w:val="18"/>
          <w:szCs w:val="18"/>
        </w:rPr>
        <w:t xml:space="preserve">Business Analyst with 2+ years across fintech and e-commerce, specializing in process digitization, requirements documentation, and end-to-end delivery coordination. Uniquely combines BA methodology with a software engineering background — enabling precise translation of business needs into technical specifications and seamless collaboration with development teams. Delivered production systems spanning credit scoring, B2C sales channels, operational dashboards, and end-to-end credit lifecycle management.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CORE SKILLS</w:t>
            </w:r>
          </w:p>
        </w:tc>
      </w:tr>
    </w:tbl>
    <w:p>
      <w:pPr>
        <w:spacing w:after="0" w:before="30"/>
      </w:pP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Business Analysis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BRD / FRD / SRS  |  User Stories &amp; Acceptance Criteria (Gherkin)  |  BPMN (As-Is / To-Be) | UML | Sequence Diagrams  |  Gap Analysis  |  Stakeholder Interviews  |  Backlog Prioritization (RICE)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Technical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REST API &amp; JSON  |  Swagger / OpenAPI 3.0  |  Postman (API Testing)  |  SQL (JOIN, GROUP BY, Subqueries)  |  SDLC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Process &amp; Tools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Agile / Scrum  |  Jira  |  Confluence  |  UAT Planning &amp; Coordination  |  L2 Production Support (ELK Stack)</w:t>
      </w:r>
    </w:p>
    <w:p>
      <w:pPr>
        <w:spacing w:after="30" w:before="30" w:line="260"/>
      </w:pPr>
      <w:r>
        <w:rPr>
          <w:rFonts w:ascii="Calibri" w:eastAsia="Microsoft YaHei"/>
          <w:b/>
          <w:bCs/>
          <w:color w:val="1A1A1A"/>
          <w:sz w:val="18"/>
          <w:szCs w:val="18"/>
        </w:rPr>
        <w:t xml:space="preserve">Languages</w:t>
      </w:r>
      <w:r>
        <w:rPr>
          <w:rFonts w:ascii="Calibri" w:eastAsia="Microsoft YaHei"/>
          <w:sz w:val="18"/>
          <w:szCs w:val="18"/>
        </w:rPr>
        <w:t xml:space="preserve">   </w:t>
      </w:r>
      <w:r>
        <w:rPr>
          <w:rFonts w:ascii="Calibri" w:eastAsia="Microsoft YaHei"/>
          <w:color w:val="333333"/>
          <w:sz w:val="18"/>
          <w:szCs w:val="18"/>
        </w:rPr>
        <w:t xml:space="preserve">Azerbaijani (Native)  |  Russian (Fluent)  |  English (Professional / Technical Documentation)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PROFESSIONAL EXPERIENCE</w:t>
            </w:r>
          </w:p>
        </w:tc>
      </w:tr>
    </w:tbl>
    <w:p>
      <w:pPr>
        <w:spacing w:after="0" w:before="30"/>
      </w:pPr>
    </w:p>
    <w:p>
      <w:pPr>
        <w:tabs>
          <w:tab w:val="right" w:pos="9906"/>
        </w:tabs>
        <w:spacing w:after="16" w:before="120" w:line="260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Embafinans</w:t>
      </w:r>
      <w:r>
        <w:rPr>
          <w:rFonts w:ascii="Calibri" w:eastAsia="Microsoft YaHei"/>
          <w:color w:val="777777"/>
          <w:sz w:val="18"/>
          <w:szCs w:val="18"/>
        </w:rPr>
        <w:t xml:space="preserve">  |  </w:t>
      </w:r>
      <w:r>
        <w:rPr>
          <w:rFonts w:ascii="Calibri" w:eastAsia="Microsoft YaHei"/>
          <w:i/>
          <w:iCs/>
          <w:color w:val="333333"/>
          <w:sz w:val="18"/>
          <w:szCs w:val="18"/>
        </w:rPr>
        <w:t xml:space="preserve">IT Business Analyst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6"/>
          <w:szCs w:val="16"/>
        </w:rPr>
        <w:t xml:space="preserve">2025 – Present</w:t>
      </w:r>
    </w:p>
    <w:p>
      <w:pPr>
        <w:spacing w:after="20" w:before="100" w:line="260"/>
      </w:pPr>
      <w:r>
        <w:rPr>
          <w:rFonts w:ascii="Calibri" w:eastAsia="Microsoft YaHei"/>
          <w:b/>
          <w:bCs/>
          <w:i/>
          <w:iCs/>
          <w:color w:val="1A1A1A"/>
          <w:spacing w:val="40"/>
          <w:sz w:val="18"/>
          <w:szCs w:val="18"/>
        </w:rPr>
        <w:t xml:space="preserve">Projects Delivered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BNPL Credit Scoring &amp; Pre-Screen Risk Assessment  </w:t>
      </w:r>
      <w:r>
        <w:rPr>
          <w:rFonts w:ascii="Calibri" w:eastAsia="Microsoft YaHei"/>
          <w:color w:val="777777"/>
          <w:sz w:val="16"/>
          <w:szCs w:val="16"/>
        </w:rPr>
        <w:t xml:space="preserve">(2x Faster Credit Decisions, Automated Multi-Factor Assessment)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B2C Sales Channel &amp; Payment Gateway Integration  </w:t>
      </w:r>
      <w:r>
        <w:rPr>
          <w:rFonts w:ascii="Calibri" w:eastAsia="Microsoft YaHei"/>
          <w:color w:val="777777"/>
          <w:sz w:val="16"/>
          <w:szCs w:val="16"/>
        </w:rPr>
        <w:t xml:space="preserve">(300–500 Daily Applications, Online Payment Processing)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Goods Loan Delivery Tracking Dashboard  </w:t>
      </w:r>
      <w:r>
        <w:rPr>
          <w:rFonts w:ascii="Calibri" w:eastAsia="Microsoft YaHei"/>
          <w:color w:val="777777"/>
          <w:sz w:val="16"/>
          <w:szCs w:val="16"/>
        </w:rPr>
        <w:t xml:space="preserve">(Real-Time Monitoring, 2x Fewer Errors, Digital E-Signature)</w:t>
      </w:r>
    </w:p>
    <w:p>
      <w:pPr>
        <w:spacing w:after="10" w:before="10" w:line="250"/>
        <w:ind w:left="200" w:hanging="20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b/>
          <w:bCs/>
          <w:color w:val="1A1A1A"/>
          <w:sz w:val="17"/>
          <w:szCs w:val="17"/>
        </w:rPr>
        <w:t xml:space="preserve">  End-to-End Credit Lifecycle  </w:t>
      </w:r>
      <w:r>
        <w:rPr>
          <w:rFonts w:ascii="Calibri" w:eastAsia="Microsoft YaHei"/>
          <w:color w:val="777777"/>
          <w:sz w:val="16"/>
          <w:szCs w:val="16"/>
        </w:rPr>
        <w:t xml:space="preserve">(Application, Disbursement, Collection, Cross-Functional)</w:t>
      </w:r>
    </w:p>
    <w:p>
      <w:pPr>
        <w:spacing w:after="20" w:before="100" w:line="260"/>
      </w:pPr>
      <w:r>
        <w:rPr>
          <w:rFonts w:ascii="Calibri" w:eastAsia="Microsoft YaHei"/>
          <w:b/>
          <w:bCs/>
          <w:i/>
          <w:iCs/>
          <w:color w:val="1A1A1A"/>
          <w:spacing w:val="40"/>
          <w:sz w:val="18"/>
          <w:szCs w:val="18"/>
        </w:rPr>
        <w:t xml:space="preserve">Delivery Methodology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Discovery &amp; Process Modeling: Conducted structured stakeholder sessions with risk, sales, and operations teams to map As-Is workflows, identify pain points, and design To-Be BPMN process models and sequence diagrams for system interaction flows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Requirements Documentation: Authored detailed BRDs, FRDs, and SRS documents with REQ-101 numbered requirements, wrote User Stories with Gherkin Acceptance Criteria, and maintained traceability across sprints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Technical Specification: Defined REST API specifications in Swagger/OpenAPI 3.0, created sequence diagrams for integration flows, and prepared data mapping documents for seamless developer handoff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UAT &amp; Delivery Coordination: Coordinated UAT execution with business stakeholders, led bug triage meetings with QA and developers, and achieved on-time sign-off across multiple release cycles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Backlog Prioritization: Ranked requirements and user stories using RICE framework to align sprint planning with business value and stakeholder priorities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Data-Driven Decision Making: Leveraged SQL data analysis to resolve conflicting stakeholder priorities, presenting evidence-based recommendations to drive consensus</w:t>
      </w:r>
    </w:p>
    <w:p>
      <w:pPr>
        <w:tabs>
          <w:tab w:val="right" w:pos="9906"/>
        </w:tabs>
        <w:spacing w:after="16" w:before="120" w:line="260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Birbonus</w:t>
      </w:r>
      <w:r>
        <w:rPr>
          <w:rFonts w:ascii="Calibri" w:eastAsia="Microsoft YaHei"/>
          <w:color w:val="777777"/>
          <w:sz w:val="18"/>
          <w:szCs w:val="18"/>
        </w:rPr>
        <w:t xml:space="preserve">  |  </w:t>
      </w:r>
      <w:r>
        <w:rPr>
          <w:rFonts w:ascii="Calibri" w:eastAsia="Microsoft YaHei"/>
          <w:i/>
          <w:iCs/>
          <w:color w:val="333333"/>
          <w:sz w:val="18"/>
          <w:szCs w:val="18"/>
        </w:rPr>
        <w:t xml:space="preserve">IT Business Analyst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6"/>
          <w:szCs w:val="16"/>
        </w:rPr>
        <w:t xml:space="preserve">2024 – 2025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Designed a customer loyalty bonus system enabling shoppers to earn rewards on purchases and redeem across participating partner merchants, conducting stakeholder sessions to define earning rules, eligibility criteria, and partner settlement workflows</w:t>
      </w:r>
    </w:p>
    <w:p>
      <w:pPr>
        <w:tabs>
          <w:tab w:val="right" w:pos="9906"/>
        </w:tabs>
        <w:spacing w:after="16" w:before="120" w:line="260"/>
      </w:pPr>
      <w:r>
        <w:rPr>
          <w:rFonts w:ascii="Calibri" w:eastAsia="Microsoft YaHei"/>
          <w:b/>
          <w:bCs/>
          <w:color w:val="1A1A1A"/>
          <w:sz w:val="20"/>
          <w:szCs w:val="20"/>
        </w:rPr>
        <w:t xml:space="preserve">Umico</w:t>
      </w:r>
      <w:r>
        <w:rPr>
          <w:rFonts w:ascii="Calibri" w:eastAsia="Microsoft YaHei"/>
          <w:color w:val="777777"/>
          <w:sz w:val="18"/>
          <w:szCs w:val="18"/>
        </w:rPr>
        <w:t xml:space="preserve">  |  </w:t>
      </w:r>
      <w:r>
        <w:rPr>
          <w:rFonts w:ascii="Calibri" w:eastAsia="Microsoft YaHei"/>
          <w:i/>
          <w:iCs/>
          <w:color w:val="333333"/>
          <w:sz w:val="18"/>
          <w:szCs w:val="18"/>
        </w:rPr>
        <w:t xml:space="preserve">PostgreSQL Developer &amp; L2 Support</w:t>
      </w:r>
      <w:r>
        <w:rPr>
          <w:rFonts w:ascii="Calibri" w:eastAsia="Microsoft YaHei"/>
        </w:rPr>
        <w:t xml:space="preserve">	</w:t>
      </w:r>
      <w:r>
        <w:rPr>
          <w:rFonts w:ascii="Calibri" w:eastAsia="Microsoft YaHei"/>
          <w:color w:val="777777"/>
          <w:sz w:val="16"/>
          <w:szCs w:val="16"/>
        </w:rPr>
        <w:t xml:space="preserve">2022 – 2024</w:t>
      </w:r>
    </w:p>
    <w:p>
      <w:pPr>
        <w:spacing w:after="16" w:before="16" w:line="260"/>
        <w:ind w:left="160" w:hanging="160"/>
      </w:pPr>
      <w:r>
        <w:rPr>
          <w:rFonts w:ascii="Calibri" w:eastAsia="Microsoft YaHei"/>
          <w:color w:val="2A6496"/>
          <w:sz w:val="17"/>
          <w:szCs w:val="17"/>
        </w:rPr>
        <w:t xml:space="preserve">•</w:t>
      </w:r>
      <w:r>
        <w:rPr>
          <w:rFonts w:ascii="Calibri" w:eastAsia="Microsoft YaHei"/>
          <w:color w:val="333333"/>
          <w:sz w:val="17"/>
          <w:szCs w:val="17"/>
        </w:rPr>
        <w:t xml:space="preserve">  Built backend features using PostgreSQL, resolved L2 production incidents using ELK Stack log analysis and source code investigation, and coordinated back-to-back technical integration testing for new partner system onboarding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TECHNICAL FOUNDATION</w:t>
            </w:r>
          </w:p>
        </w:tc>
      </w:tr>
    </w:tbl>
    <w:p>
      <w:pPr>
        <w:spacing w:after="0" w:before="30"/>
      </w:pPr>
    </w:p>
    <w:p>
      <w:pPr>
        <w:spacing w:after="16" w:before="16" w:line="260"/>
        <w:jc w:val="both"/>
      </w:pPr>
      <w:r>
        <w:rPr>
          <w:rFonts w:ascii="Calibri" w:eastAsia="Microsoft YaHei"/>
          <w:color w:val="333333"/>
          <w:sz w:val="18"/>
          <w:szCs w:val="18"/>
        </w:rPr>
        <w:t xml:space="preserve">15+ years in software engineering (Central Bank of Azerbaijan, Unibank, ASAN Service) covering backend development (C#, T-SQL), database architecture (Oracle, MSSQL, PostgreSQL), and system integration. Enables precise requirement-to-code translation and rapid root cause analysis during production incidents.</w:t>
      </w:r>
    </w:p>
    <w:p>
      <w:pPr>
        <w:spacing w:after="0" w:before="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32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A6496" w:sz="6"/>
              <w:right w:val="none" w:color="FFFFFF" w:sz="0"/>
            </w:tcBorders>
            <w:vAlign w:val="bottom"/>
          </w:tcPr>
          <w:p>
            <w:pPr>
              <w:spacing w:after="30" w:before="60"/>
            </w:pPr>
            <w:r>
              <w:rPr>
                <w:rFonts w:ascii="Calibri" w:eastAsia="Microsoft YaHei"/>
                <w:b/>
                <w:bCs/>
                <w:color w:val="2A6496"/>
                <w:spacing w:val="80"/>
                <w:sz w:val="19"/>
                <w:szCs w:val="19"/>
              </w:rPr>
              <w:t xml:space="preserve">EDUCATION</w:t>
            </w:r>
          </w:p>
        </w:tc>
      </w:tr>
    </w:tbl>
    <w:p>
      <w:pPr>
        <w:spacing w:after="0" w:before="30"/>
      </w:pPr>
    </w:p>
    <w:p>
      <w:pPr>
        <w:spacing w:after="16" w:before="16" w:line="260"/>
      </w:pPr>
      <w:r>
        <w:rPr>
          <w:rFonts w:ascii="Calibri" w:eastAsia="Microsoft YaHei"/>
          <w:b/>
          <w:bCs/>
          <w:color w:val="1A1A1A"/>
          <w:sz w:val="19"/>
          <w:szCs w:val="19"/>
        </w:rPr>
        <w:t xml:space="preserve">Baku State University</w:t>
      </w:r>
      <w:r>
        <w:rPr>
          <w:rFonts w:ascii="Calibri" w:eastAsia="Microsoft YaHei"/>
          <w:color w:val="777777"/>
          <w:sz w:val="18"/>
          <w:szCs w:val="18"/>
        </w:rPr>
        <w:t xml:space="preserve">  —  </w:t>
      </w:r>
      <w:r>
        <w:rPr>
          <w:rFonts w:ascii="Calibri" w:eastAsia="Microsoft YaHei"/>
          <w:color w:val="333333"/>
          <w:sz w:val="18"/>
          <w:szCs w:val="18"/>
        </w:rPr>
        <w:t xml:space="preserve">Bachelor of Science in Applied Mathematics</w:t>
      </w:r>
    </w:p>
    <w:sectPr>
      <w:pgSz w:w="11906" w:h="16838" w:orient="portrait"/>
      <w:pgMar w:top="550" w:right="950" w:bottom="4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2026-04-24T21:04:11.049Z</dcterms:created>
  <dcterms:modified xsi:type="dcterms:W3CDTF">2026-04-24T21:04:11.050Z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