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operational dashboards, and end-to-end credit lifecycle management.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BRDs, FRDs, and SRS documents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 and created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Backlog Prioritization: Ranked requirements and user stories using RICE framework to align sprint planning with business value and stakeholder priorities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2026-04-24T20:27:03.253Z</dcterms:created>
  <dcterms:modified xsi:type="dcterms:W3CDTF">2026-04-24T20:27:03.254Z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