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160" w:line="276"/>
        <w:jc w:val="left"/>
      </w:pPr>
      <w:r>
        <w:rPr>
          <w:rFonts w:ascii="Calibri" w:eastAsia="Microsoft YaHei"/>
          <w:b/>
          <w:bCs/>
          <w:color w:val="1A1A1A"/>
          <w:spacing w:val="120"/>
          <w:sz w:val="34"/>
          <w:szCs w:val="34"/>
        </w:rPr>
        <w:t xml:space="preserve">ZAMIR JAMALOV</w:t>
      </w:r>
    </w:p>
    <w:p>
      <w:pPr>
        <w:spacing w:after="50" w:before="0" w:line="276"/>
      </w:pPr>
      <w:r>
        <w:rPr>
          <w:rFonts w:ascii="Calibri" w:eastAsia="Microsoft YaHei"/>
          <w:color w:val="2A6496"/>
          <w:sz w:val="21"/>
          <w:szCs w:val="21"/>
        </w:rPr>
        <w:t xml:space="preserve">IT Business Analyst  |  E-Commerce &amp; Fintech</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906"/>
      </w:tblGrid>
      <w:tr>
        <w:trPr>
          <w:trHeight w:val="260" w:hRule="atLeast"/>
        </w:trPr>
        <w:tc>
          <w:tcPr>
            <w:tcW w:type="pct" w:w="100%"/>
            <w:tcBorders>
              <w:top w:val="none" w:color="FFFFFF" w:sz="0"/>
              <w:left w:val="none" w:color="FFFFFF" w:sz="0"/>
              <w:bottom w:val="single" w:color="CCCCCC" w:sz="2"/>
              <w:right w:val="none" w:color="FFFFFF" w:sz="0"/>
            </w:tcBorders>
            <w:vAlign w:val="center"/>
          </w:tcPr>
          <w:p>
            <w:pPr>
              <w:spacing w:after="30" w:before="30"/>
            </w:pPr>
            <w:r>
              <w:rPr>
                <w:rFonts w:ascii="Calibri" w:eastAsia="Microsoft YaHei"/>
                <w:color w:val="777777"/>
                <w:sz w:val="16"/>
                <w:szCs w:val="16"/>
              </w:rPr>
              <w:t xml:space="preserve">+994 55 207 7228</w:t>
            </w:r>
            <w:r>
              <w:rPr>
                <w:rFonts w:ascii="Calibri" w:eastAsia="Microsoft YaHei"/>
                <w:color w:val="CCCCCC"/>
                <w:sz w:val="16"/>
                <w:szCs w:val="16"/>
              </w:rPr>
              <w:t xml:space="preserve">   |   </w:t>
            </w:r>
            <w:r>
              <w:rPr>
                <w:rFonts w:ascii="Calibri" w:eastAsia="Microsoft YaHei"/>
                <w:color w:val="777777"/>
                <w:sz w:val="16"/>
                <w:szCs w:val="16"/>
              </w:rPr>
              <w:t xml:space="preserve">jamalov.zamir@gmail.com</w:t>
            </w:r>
            <w:r>
              <w:rPr>
                <w:rFonts w:ascii="Calibri" w:eastAsia="Microsoft YaHei"/>
                <w:color w:val="CCCCCC"/>
                <w:sz w:val="16"/>
                <w:szCs w:val="16"/>
              </w:rPr>
              <w:t xml:space="preserve">   |   </w:t>
            </w:r>
            <w:r>
              <w:rPr>
                <w:rFonts w:ascii="Calibri" w:eastAsia="Microsoft YaHei"/>
                <w:color w:val="777777"/>
                <w:sz w:val="16"/>
                <w:szCs w:val="16"/>
              </w:rPr>
              <w:t xml:space="preserve">Baku, Azerbaijan</w:t>
            </w:r>
          </w:p>
        </w:tc>
      </w:tr>
    </w:tbl>
    <w:p>
      <w:pPr>
        <w:spacing w:after="0" w:before="5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906"/>
      </w:tblGrid>
      <w:tr>
        <w:trPr>
          <w:trHeight w:val="320" w:hRule="exact"/>
        </w:trPr>
        <w:tc>
          <w:tcPr>
            <w:tcW w:type="pct" w:w="100%"/>
            <w:tcBorders>
              <w:top w:val="none" w:color="FFFFFF" w:sz="0"/>
              <w:left w:val="none" w:color="FFFFFF" w:sz="0"/>
              <w:bottom w:val="single" w:color="2A6496" w:sz="6"/>
              <w:right w:val="none" w:color="FFFFFF" w:sz="0"/>
            </w:tcBorders>
            <w:vAlign w:val="bottom"/>
          </w:tcPr>
          <w:p>
            <w:pPr>
              <w:spacing w:after="30" w:before="60"/>
            </w:pPr>
            <w:r>
              <w:rPr>
                <w:rFonts w:ascii="Calibri" w:eastAsia="Microsoft YaHei"/>
                <w:b/>
                <w:bCs/>
                <w:color w:val="2A6496"/>
                <w:spacing w:val="80"/>
                <w:sz w:val="19"/>
                <w:szCs w:val="19"/>
              </w:rPr>
              <w:t xml:space="preserve">PROFILE SUMMARY</w:t>
            </w:r>
          </w:p>
        </w:tc>
      </w:tr>
    </w:tbl>
    <w:p>
      <w:pPr>
        <w:spacing w:after="0" w:before="30"/>
      </w:pPr>
    </w:p>
    <w:p>
      <w:pPr>
        <w:spacing w:after="16" w:before="16" w:line="260"/>
        <w:jc w:val="both"/>
      </w:pPr>
      <w:r>
        <w:rPr>
          <w:rFonts w:ascii="Calibri" w:eastAsia="Microsoft YaHei"/>
          <w:color w:val="333333"/>
          <w:sz w:val="18"/>
          <w:szCs w:val="18"/>
        </w:rPr>
        <w:t xml:space="preserve">Business Analyst with 2+ years across fintech and e-commerce, specializing in process digitization, requirements documentation, and end-to-end delivery coordination. Engineering background enables precise translation of business needs into technical specifications. Having delivered production systems in financial services, now looking to bring the same analytical approach to retail process optimization.</w:t>
      </w:r>
    </w:p>
    <w:p>
      <w:pPr>
        <w:spacing w:after="0" w:before="5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906"/>
      </w:tblGrid>
      <w:tr>
        <w:trPr>
          <w:trHeight w:val="320" w:hRule="exact"/>
        </w:trPr>
        <w:tc>
          <w:tcPr>
            <w:tcW w:type="pct" w:w="100%"/>
            <w:tcBorders>
              <w:top w:val="none" w:color="FFFFFF" w:sz="0"/>
              <w:left w:val="none" w:color="FFFFFF" w:sz="0"/>
              <w:bottom w:val="single" w:color="2A6496" w:sz="6"/>
              <w:right w:val="none" w:color="FFFFFF" w:sz="0"/>
            </w:tcBorders>
            <w:vAlign w:val="bottom"/>
          </w:tcPr>
          <w:p>
            <w:pPr>
              <w:spacing w:after="30" w:before="60"/>
            </w:pPr>
            <w:r>
              <w:rPr>
                <w:rFonts w:ascii="Calibri" w:eastAsia="Microsoft YaHei"/>
                <w:b/>
                <w:bCs/>
                <w:color w:val="2A6496"/>
                <w:spacing w:val="80"/>
                <w:sz w:val="19"/>
                <w:szCs w:val="19"/>
              </w:rPr>
              <w:t xml:space="preserve">CORE SKILLS</w:t>
            </w:r>
          </w:p>
        </w:tc>
      </w:tr>
    </w:tbl>
    <w:p>
      <w:pPr>
        <w:spacing w:after="0" w:before="30"/>
      </w:pPr>
    </w:p>
    <w:p>
      <w:pPr>
        <w:spacing w:after="30" w:before="30" w:line="260"/>
      </w:pPr>
      <w:r>
        <w:rPr>
          <w:rFonts w:ascii="Calibri" w:eastAsia="Microsoft YaHei"/>
          <w:b/>
          <w:bCs/>
          <w:color w:val="1A1A1A"/>
          <w:sz w:val="18"/>
          <w:szCs w:val="18"/>
        </w:rPr>
        <w:t xml:space="preserve">Business Analysis</w:t>
      </w:r>
      <w:r>
        <w:rPr>
          <w:rFonts w:ascii="Calibri" w:eastAsia="Microsoft YaHei"/>
          <w:sz w:val="18"/>
          <w:szCs w:val="18"/>
        </w:rPr>
        <w:t xml:space="preserve">   </w:t>
      </w:r>
      <w:r>
        <w:rPr>
          <w:rFonts w:ascii="Calibri" w:eastAsia="Microsoft YaHei"/>
          <w:color w:val="333333"/>
          <w:sz w:val="18"/>
          <w:szCs w:val="18"/>
        </w:rPr>
        <w:t xml:space="preserve">BRD / FRD / SRS  |  User Stories &amp; Acceptance Criteria (Gherkin)  |  BPMN (As-Is / To-Be) | UML | Sequence Diagrams  |  Gap Analysis  |  Stakeholder Interviews  |  Backlog Prioritization (RICE)</w:t>
      </w:r>
    </w:p>
    <w:p>
      <w:pPr>
        <w:spacing w:after="30" w:before="30" w:line="260"/>
      </w:pPr>
      <w:r>
        <w:rPr>
          <w:rFonts w:ascii="Calibri" w:eastAsia="Microsoft YaHei"/>
          <w:b/>
          <w:bCs/>
          <w:color w:val="1A1A1A"/>
          <w:sz w:val="18"/>
          <w:szCs w:val="18"/>
        </w:rPr>
        <w:t xml:space="preserve">Technical</w:t>
      </w:r>
      <w:r>
        <w:rPr>
          <w:rFonts w:ascii="Calibri" w:eastAsia="Microsoft YaHei"/>
          <w:sz w:val="18"/>
          <w:szCs w:val="18"/>
        </w:rPr>
        <w:t xml:space="preserve">   </w:t>
      </w:r>
      <w:r>
        <w:rPr>
          <w:rFonts w:ascii="Calibri" w:eastAsia="Microsoft YaHei"/>
          <w:color w:val="333333"/>
          <w:sz w:val="18"/>
          <w:szCs w:val="18"/>
        </w:rPr>
        <w:t xml:space="preserve">REST API &amp; JSON  |  Swagger / OpenAPI 3.0  |  Postman (API Testing)  |  SQL (JOIN, GROUP BY, Subqueries)  |  SDLC</w:t>
      </w:r>
    </w:p>
    <w:p>
      <w:pPr>
        <w:spacing w:after="30" w:before="30" w:line="260"/>
      </w:pPr>
      <w:r>
        <w:rPr>
          <w:rFonts w:ascii="Calibri" w:eastAsia="Microsoft YaHei"/>
          <w:b/>
          <w:bCs/>
          <w:color w:val="1A1A1A"/>
          <w:sz w:val="18"/>
          <w:szCs w:val="18"/>
        </w:rPr>
        <w:t xml:space="preserve">Process &amp; Tools</w:t>
      </w:r>
      <w:r>
        <w:rPr>
          <w:rFonts w:ascii="Calibri" w:eastAsia="Microsoft YaHei"/>
          <w:sz w:val="18"/>
          <w:szCs w:val="18"/>
        </w:rPr>
        <w:t xml:space="preserve">   </w:t>
      </w:r>
      <w:r>
        <w:rPr>
          <w:rFonts w:ascii="Calibri" w:eastAsia="Microsoft YaHei"/>
          <w:color w:val="333333"/>
          <w:sz w:val="18"/>
          <w:szCs w:val="18"/>
        </w:rPr>
        <w:t xml:space="preserve">Agile / Scrum  |  Jira  |  Confluence  |  UAT Planning &amp; Coordination  |  L2 Production Support (ELK Stack)</w:t>
      </w:r>
    </w:p>
    <w:p>
      <w:pPr>
        <w:spacing w:after="30" w:before="30" w:line="260"/>
      </w:pPr>
      <w:r>
        <w:rPr>
          <w:rFonts w:ascii="Calibri" w:eastAsia="Microsoft YaHei"/>
          <w:b/>
          <w:bCs/>
          <w:color w:val="1A1A1A"/>
          <w:sz w:val="18"/>
          <w:szCs w:val="18"/>
        </w:rPr>
        <w:t xml:space="preserve">Languages</w:t>
      </w:r>
      <w:r>
        <w:rPr>
          <w:rFonts w:ascii="Calibri" w:eastAsia="Microsoft YaHei"/>
          <w:sz w:val="18"/>
          <w:szCs w:val="18"/>
        </w:rPr>
        <w:t xml:space="preserve">   </w:t>
      </w:r>
      <w:r>
        <w:rPr>
          <w:rFonts w:ascii="Calibri" w:eastAsia="Microsoft YaHei"/>
          <w:color w:val="333333"/>
          <w:sz w:val="18"/>
          <w:szCs w:val="18"/>
        </w:rPr>
        <w:t xml:space="preserve">Azerbaijani (Native)  |  Russian (Fluent)  |  English (Professional / Technical Documentation)</w:t>
      </w:r>
    </w:p>
    <w:p>
      <w:pPr>
        <w:spacing w:after="0" w:before="5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906"/>
      </w:tblGrid>
      <w:tr>
        <w:trPr>
          <w:trHeight w:val="320" w:hRule="exact"/>
        </w:trPr>
        <w:tc>
          <w:tcPr>
            <w:tcW w:type="pct" w:w="100%"/>
            <w:tcBorders>
              <w:top w:val="none" w:color="FFFFFF" w:sz="0"/>
              <w:left w:val="none" w:color="FFFFFF" w:sz="0"/>
              <w:bottom w:val="single" w:color="2A6496" w:sz="6"/>
              <w:right w:val="none" w:color="FFFFFF" w:sz="0"/>
            </w:tcBorders>
            <w:vAlign w:val="bottom"/>
          </w:tcPr>
          <w:p>
            <w:pPr>
              <w:spacing w:after="30" w:before="60"/>
            </w:pPr>
            <w:r>
              <w:rPr>
                <w:rFonts w:ascii="Calibri" w:eastAsia="Microsoft YaHei"/>
                <w:b/>
                <w:bCs/>
                <w:color w:val="2A6496"/>
                <w:spacing w:val="80"/>
                <w:sz w:val="19"/>
                <w:szCs w:val="19"/>
              </w:rPr>
              <w:t xml:space="preserve">PROFESSIONAL EXPERIENCE</w:t>
            </w:r>
          </w:p>
        </w:tc>
      </w:tr>
    </w:tbl>
    <w:p>
      <w:pPr>
        <w:spacing w:after="0" w:before="30"/>
      </w:pPr>
    </w:p>
    <w:p>
      <w:pPr>
        <w:tabs>
          <w:tab w:val="right" w:pos="9906"/>
        </w:tabs>
        <w:spacing w:after="16" w:before="120" w:line="260"/>
      </w:pPr>
      <w:r>
        <w:rPr>
          <w:rFonts w:ascii="Calibri" w:eastAsia="Microsoft YaHei"/>
          <w:b/>
          <w:bCs/>
          <w:color w:val="1A1A1A"/>
          <w:sz w:val="20"/>
          <w:szCs w:val="20"/>
        </w:rPr>
        <w:t xml:space="preserve">Embafinans</w:t>
      </w:r>
      <w:r>
        <w:rPr>
          <w:rFonts w:ascii="Calibri" w:eastAsia="Microsoft YaHei"/>
          <w:color w:val="777777"/>
          <w:sz w:val="18"/>
          <w:szCs w:val="18"/>
        </w:rPr>
        <w:t xml:space="preserve">  |  </w:t>
      </w:r>
      <w:r>
        <w:rPr>
          <w:rFonts w:ascii="Calibri" w:eastAsia="Microsoft YaHei"/>
          <w:i/>
          <w:iCs/>
          <w:color w:val="333333"/>
          <w:sz w:val="18"/>
          <w:szCs w:val="18"/>
        </w:rPr>
        <w:t xml:space="preserve">IT Business Analyst</w:t>
      </w:r>
      <w:r>
        <w:rPr>
          <w:rFonts w:ascii="Calibri" w:eastAsia="Microsoft YaHei"/>
        </w:rPr>
        <w:t xml:space="preserve">	</w:t>
      </w:r>
      <w:r>
        <w:rPr>
          <w:rFonts w:ascii="Calibri" w:eastAsia="Microsoft YaHei"/>
          <w:color w:val="777777"/>
          <w:sz w:val="16"/>
          <w:szCs w:val="16"/>
        </w:rPr>
        <w:t xml:space="preserve">2025 – Present</w:t>
      </w:r>
    </w:p>
    <w:p>
      <w:pPr>
        <w:spacing w:after="20" w:before="100" w:line="260"/>
      </w:pPr>
      <w:r>
        <w:rPr>
          <w:rFonts w:ascii="Calibri" w:eastAsia="Microsoft YaHei"/>
          <w:b/>
          <w:bCs/>
          <w:i/>
          <w:iCs/>
          <w:color w:val="1A1A1A"/>
          <w:spacing w:val="40"/>
          <w:sz w:val="18"/>
          <w:szCs w:val="18"/>
        </w:rPr>
        <w:t xml:space="preserve">Projects Delivered</w:t>
      </w:r>
    </w:p>
    <w:p>
      <w:pPr>
        <w:spacing w:after="10" w:before="10" w:line="250"/>
        <w:ind w:left="200" w:hanging="200"/>
      </w:pPr>
      <w:r>
        <w:rPr>
          <w:rFonts w:ascii="Calibri" w:eastAsia="Microsoft YaHei"/>
          <w:color w:val="2A6496"/>
          <w:sz w:val="17"/>
          <w:szCs w:val="17"/>
        </w:rPr>
        <w:t xml:space="preserve">•</w:t>
      </w:r>
      <w:r>
        <w:rPr>
          <w:rFonts w:ascii="Calibri" w:eastAsia="Microsoft YaHei"/>
          <w:b/>
          <w:bCs/>
          <w:color w:val="1A1A1A"/>
          <w:sz w:val="17"/>
          <w:szCs w:val="17"/>
        </w:rPr>
        <w:t xml:space="preserve">  BNPL Credit Scoring &amp; Pre-Screen Risk Assessment  </w:t>
      </w:r>
      <w:r>
        <w:rPr>
          <w:rFonts w:ascii="Calibri" w:eastAsia="Microsoft YaHei"/>
          <w:color w:val="777777"/>
          <w:sz w:val="16"/>
          <w:szCs w:val="16"/>
        </w:rPr>
        <w:t xml:space="preserve">(2x Faster Credit Decisions, Automated Multi-Factor Assessment)</w:t>
      </w:r>
    </w:p>
    <w:p>
      <w:pPr>
        <w:spacing w:after="10" w:before="10" w:line="250"/>
        <w:ind w:left="200" w:hanging="200"/>
      </w:pPr>
      <w:r>
        <w:rPr>
          <w:rFonts w:ascii="Calibri" w:eastAsia="Microsoft YaHei"/>
          <w:color w:val="2A6496"/>
          <w:sz w:val="17"/>
          <w:szCs w:val="17"/>
        </w:rPr>
        <w:t xml:space="preserve">•</w:t>
      </w:r>
      <w:r>
        <w:rPr>
          <w:rFonts w:ascii="Calibri" w:eastAsia="Microsoft YaHei"/>
          <w:b/>
          <w:bCs/>
          <w:color w:val="1A1A1A"/>
          <w:sz w:val="17"/>
          <w:szCs w:val="17"/>
        </w:rPr>
        <w:t xml:space="preserve">  B2C Sales Channel &amp; Payment Gateway Integration  </w:t>
      </w:r>
      <w:r>
        <w:rPr>
          <w:rFonts w:ascii="Calibri" w:eastAsia="Microsoft YaHei"/>
          <w:color w:val="777777"/>
          <w:sz w:val="16"/>
          <w:szCs w:val="16"/>
        </w:rPr>
        <w:t xml:space="preserve">(300–500 Daily Applications, Online Payment Processing)</w:t>
      </w:r>
    </w:p>
    <w:p>
      <w:pPr>
        <w:spacing w:after="10" w:before="10" w:line="250"/>
        <w:ind w:left="200" w:hanging="200"/>
      </w:pPr>
      <w:r>
        <w:rPr>
          <w:rFonts w:ascii="Calibri" w:eastAsia="Microsoft YaHei"/>
          <w:color w:val="2A6496"/>
          <w:sz w:val="17"/>
          <w:szCs w:val="17"/>
        </w:rPr>
        <w:t xml:space="preserve">•</w:t>
      </w:r>
      <w:r>
        <w:rPr>
          <w:rFonts w:ascii="Calibri" w:eastAsia="Microsoft YaHei"/>
          <w:b/>
          <w:bCs/>
          <w:color w:val="1A1A1A"/>
          <w:sz w:val="17"/>
          <w:szCs w:val="17"/>
        </w:rPr>
        <w:t xml:space="preserve">  Goods Loan Delivery Tracking Dashboard  </w:t>
      </w:r>
      <w:r>
        <w:rPr>
          <w:rFonts w:ascii="Calibri" w:eastAsia="Microsoft YaHei"/>
          <w:color w:val="777777"/>
          <w:sz w:val="16"/>
          <w:szCs w:val="16"/>
        </w:rPr>
        <w:t xml:space="preserve">(Real-Time Monitoring, 2x Fewer Errors, Digital E-Signature)</w:t>
      </w:r>
    </w:p>
    <w:p>
      <w:pPr>
        <w:spacing w:after="10" w:before="10" w:line="250"/>
        <w:ind w:left="200" w:hanging="200"/>
      </w:pPr>
      <w:r>
        <w:rPr>
          <w:rFonts w:ascii="Calibri" w:eastAsia="Microsoft YaHei"/>
          <w:color w:val="2A6496"/>
          <w:sz w:val="17"/>
          <w:szCs w:val="17"/>
        </w:rPr>
        <w:t xml:space="preserve">•</w:t>
      </w:r>
      <w:r>
        <w:rPr>
          <w:rFonts w:ascii="Calibri" w:eastAsia="Microsoft YaHei"/>
          <w:b/>
          <w:bCs/>
          <w:color w:val="1A1A1A"/>
          <w:sz w:val="17"/>
          <w:szCs w:val="17"/>
        </w:rPr>
        <w:t xml:space="preserve">  End-to-End Credit Lifecycle  </w:t>
      </w:r>
      <w:r>
        <w:rPr>
          <w:rFonts w:ascii="Calibri" w:eastAsia="Microsoft YaHei"/>
          <w:color w:val="777777"/>
          <w:sz w:val="16"/>
          <w:szCs w:val="16"/>
        </w:rPr>
        <w:t xml:space="preserve">(Application, Disbursement, Collection, Cross-Functional)</w:t>
      </w:r>
    </w:p>
    <w:p>
      <w:pPr>
        <w:spacing w:after="20" w:before="100" w:line="260"/>
      </w:pPr>
      <w:r>
        <w:rPr>
          <w:rFonts w:ascii="Calibri" w:eastAsia="Microsoft YaHei"/>
          <w:b/>
          <w:bCs/>
          <w:i/>
          <w:iCs/>
          <w:color w:val="1A1A1A"/>
          <w:spacing w:val="40"/>
          <w:sz w:val="18"/>
          <w:szCs w:val="18"/>
        </w:rPr>
        <w:t xml:space="preserve">Delivery Methodology</w:t>
      </w:r>
    </w:p>
    <w:p>
      <w:pPr>
        <w:spacing w:after="16" w:before="16" w:line="260"/>
        <w:ind w:left="160" w:hanging="160"/>
      </w:pPr>
      <w:r>
        <w:rPr>
          <w:rFonts w:ascii="Calibri" w:eastAsia="Microsoft YaHei"/>
          <w:color w:val="2A6496"/>
          <w:sz w:val="17"/>
          <w:szCs w:val="17"/>
        </w:rPr>
        <w:t xml:space="preserve">•</w:t>
      </w:r>
      <w:r>
        <w:rPr>
          <w:rFonts w:ascii="Calibri" w:eastAsia="Microsoft YaHei"/>
          <w:color w:val="333333"/>
          <w:sz w:val="17"/>
          <w:szCs w:val="17"/>
        </w:rPr>
        <w:t xml:space="preserve">  Discovery &amp; Process Modeling: Conducted structured stakeholder sessions with risk, sales, and operations teams to map As-Is workflows, identify pain points, and design To-Be BPMN process models and sequence diagrams for system interaction flows</w:t>
      </w:r>
    </w:p>
    <w:p>
      <w:pPr>
        <w:spacing w:after="16" w:before="16" w:line="260"/>
        <w:ind w:left="160" w:hanging="160"/>
      </w:pPr>
      <w:r>
        <w:rPr>
          <w:rFonts w:ascii="Calibri" w:eastAsia="Microsoft YaHei"/>
          <w:color w:val="2A6496"/>
          <w:sz w:val="17"/>
          <w:szCs w:val="17"/>
        </w:rPr>
        <w:t xml:space="preserve">•</w:t>
      </w:r>
      <w:r>
        <w:rPr>
          <w:rFonts w:ascii="Calibri" w:eastAsia="Microsoft YaHei"/>
          <w:color w:val="333333"/>
          <w:sz w:val="17"/>
          <w:szCs w:val="17"/>
        </w:rPr>
        <w:t xml:space="preserve">  Requirements Documentation: Authored detailed BRDs, FRDs, and SRS documents with REQ-101 numbered requirements, wrote User Stories with Gherkin Acceptance Criteria, and maintained traceability across sprints</w:t>
      </w:r>
    </w:p>
    <w:p>
      <w:pPr>
        <w:spacing w:after="16" w:before="16" w:line="260"/>
        <w:ind w:left="160" w:hanging="160"/>
      </w:pPr>
      <w:r>
        <w:rPr>
          <w:rFonts w:ascii="Calibri" w:eastAsia="Microsoft YaHei"/>
          <w:color w:val="2A6496"/>
          <w:sz w:val="17"/>
          <w:szCs w:val="17"/>
        </w:rPr>
        <w:t xml:space="preserve">•</w:t>
      </w:r>
      <w:r>
        <w:rPr>
          <w:rFonts w:ascii="Calibri" w:eastAsia="Microsoft YaHei"/>
          <w:color w:val="333333"/>
          <w:sz w:val="17"/>
          <w:szCs w:val="17"/>
        </w:rPr>
        <w:t xml:space="preserve">  Technical Specification: Defined REST API specifications in Swagger/OpenAPI 3.0, created sequence diagrams for integration flows, and prepared data mapping documents for seamless developer handoff</w:t>
      </w:r>
    </w:p>
    <w:p>
      <w:pPr>
        <w:spacing w:after="16" w:before="16" w:line="260"/>
        <w:ind w:left="160" w:hanging="160"/>
      </w:pPr>
      <w:r>
        <w:rPr>
          <w:rFonts w:ascii="Calibri" w:eastAsia="Microsoft YaHei"/>
          <w:color w:val="2A6496"/>
          <w:sz w:val="17"/>
          <w:szCs w:val="17"/>
        </w:rPr>
        <w:t xml:space="preserve">•</w:t>
      </w:r>
      <w:r>
        <w:rPr>
          <w:rFonts w:ascii="Calibri" w:eastAsia="Microsoft YaHei"/>
          <w:color w:val="333333"/>
          <w:sz w:val="17"/>
          <w:szCs w:val="17"/>
        </w:rPr>
        <w:t xml:space="preserve">  UAT &amp; Delivery Coordination: Coordinated UAT execution with business stakeholders, led bug triage meetings with QA and developers, and achieved on-time sign-off across multiple release cycles</w:t>
      </w:r>
    </w:p>
    <w:p>
      <w:pPr>
        <w:spacing w:after="16" w:before="16" w:line="260"/>
        <w:ind w:left="160" w:hanging="160"/>
      </w:pPr>
      <w:r>
        <w:rPr>
          <w:rFonts w:ascii="Calibri" w:eastAsia="Microsoft YaHei"/>
          <w:color w:val="2A6496"/>
          <w:sz w:val="17"/>
          <w:szCs w:val="17"/>
        </w:rPr>
        <w:t xml:space="preserve">•</w:t>
      </w:r>
      <w:r>
        <w:rPr>
          <w:rFonts w:ascii="Calibri" w:eastAsia="Microsoft YaHei"/>
          <w:color w:val="333333"/>
          <w:sz w:val="17"/>
          <w:szCs w:val="17"/>
        </w:rPr>
        <w:t xml:space="preserve">  Backlog Prioritization: Ranked requirements and user stories using RICE framework to align sprint planning with business value and stakeholder priorities</w:t>
      </w:r>
    </w:p>
    <w:p>
      <w:pPr>
        <w:spacing w:after="16" w:before="16" w:line="260"/>
        <w:ind w:left="160" w:hanging="160"/>
      </w:pPr>
      <w:r>
        <w:rPr>
          <w:rFonts w:ascii="Calibri" w:eastAsia="Microsoft YaHei"/>
          <w:color w:val="2A6496"/>
          <w:sz w:val="17"/>
          <w:szCs w:val="17"/>
        </w:rPr>
        <w:t xml:space="preserve">•</w:t>
      </w:r>
      <w:r>
        <w:rPr>
          <w:rFonts w:ascii="Calibri" w:eastAsia="Microsoft YaHei"/>
          <w:color w:val="333333"/>
          <w:sz w:val="17"/>
          <w:szCs w:val="17"/>
        </w:rPr>
        <w:t xml:space="preserve">  Data-Driven Decision Making: Leveraged SQL data analysis to resolve conflicting stakeholder priorities, presenting evidence-based recommendations to drive consensus</w:t>
      </w:r>
    </w:p>
    <w:p>
      <w:pPr>
        <w:tabs>
          <w:tab w:val="right" w:pos="9906"/>
        </w:tabs>
        <w:spacing w:after="16" w:before="120" w:line="260"/>
      </w:pPr>
      <w:r>
        <w:rPr>
          <w:rFonts w:ascii="Calibri" w:eastAsia="Microsoft YaHei"/>
          <w:b/>
          <w:bCs/>
          <w:color w:val="1A1A1A"/>
          <w:sz w:val="20"/>
          <w:szCs w:val="20"/>
        </w:rPr>
        <w:t xml:space="preserve">Birbonus</w:t>
      </w:r>
      <w:r>
        <w:rPr>
          <w:rFonts w:ascii="Calibri" w:eastAsia="Microsoft YaHei"/>
          <w:color w:val="777777"/>
          <w:sz w:val="18"/>
          <w:szCs w:val="18"/>
        </w:rPr>
        <w:t xml:space="preserve">  |  </w:t>
      </w:r>
      <w:r>
        <w:rPr>
          <w:rFonts w:ascii="Calibri" w:eastAsia="Microsoft YaHei"/>
          <w:i/>
          <w:iCs/>
          <w:color w:val="333333"/>
          <w:sz w:val="18"/>
          <w:szCs w:val="18"/>
        </w:rPr>
        <w:t xml:space="preserve">IT Business Analyst</w:t>
      </w:r>
      <w:r>
        <w:rPr>
          <w:rFonts w:ascii="Calibri" w:eastAsia="Microsoft YaHei"/>
        </w:rPr>
        <w:t xml:space="preserve">	</w:t>
      </w:r>
      <w:r>
        <w:rPr>
          <w:rFonts w:ascii="Calibri" w:eastAsia="Microsoft YaHei"/>
          <w:color w:val="777777"/>
          <w:sz w:val="16"/>
          <w:szCs w:val="16"/>
        </w:rPr>
        <w:t xml:space="preserve">2024 – 2025</w:t>
      </w:r>
    </w:p>
    <w:p>
      <w:pPr>
        <w:spacing w:after="16" w:before="16" w:line="260"/>
        <w:ind w:left="160" w:hanging="160"/>
      </w:pPr>
      <w:r>
        <w:rPr>
          <w:rFonts w:ascii="Calibri" w:eastAsia="Microsoft YaHei"/>
          <w:color w:val="2A6496"/>
          <w:sz w:val="17"/>
          <w:szCs w:val="17"/>
        </w:rPr>
        <w:t xml:space="preserve">•</w:t>
      </w:r>
      <w:r>
        <w:rPr>
          <w:rFonts w:ascii="Calibri" w:eastAsia="Microsoft YaHei"/>
          <w:color w:val="333333"/>
          <w:sz w:val="17"/>
          <w:szCs w:val="17"/>
        </w:rPr>
        <w:t xml:space="preserve">  Designed a customer loyalty bonus system enabling shoppers to earn rewards on purchases and redeem across participating partner merchants, conducting stakeholder sessions to define earning rules, eligibility criteria, and partner settlement workflows</w:t>
      </w:r>
    </w:p>
    <w:p>
      <w:pPr>
        <w:tabs>
          <w:tab w:val="right" w:pos="9906"/>
        </w:tabs>
        <w:spacing w:after="16" w:before="120" w:line="260"/>
      </w:pPr>
      <w:r>
        <w:rPr>
          <w:rFonts w:ascii="Calibri" w:eastAsia="Microsoft YaHei"/>
          <w:b/>
          <w:bCs/>
          <w:color w:val="1A1A1A"/>
          <w:sz w:val="20"/>
          <w:szCs w:val="20"/>
        </w:rPr>
        <w:t xml:space="preserve">Umico</w:t>
      </w:r>
      <w:r>
        <w:rPr>
          <w:rFonts w:ascii="Calibri" w:eastAsia="Microsoft YaHei"/>
          <w:color w:val="777777"/>
          <w:sz w:val="18"/>
          <w:szCs w:val="18"/>
        </w:rPr>
        <w:t xml:space="preserve">  |  </w:t>
      </w:r>
      <w:r>
        <w:rPr>
          <w:rFonts w:ascii="Calibri" w:eastAsia="Microsoft YaHei"/>
          <w:i/>
          <w:iCs/>
          <w:color w:val="333333"/>
          <w:sz w:val="18"/>
          <w:szCs w:val="18"/>
        </w:rPr>
        <w:t xml:space="preserve">PostgreSQL Developer &amp; L2 Support</w:t>
      </w:r>
      <w:r>
        <w:rPr>
          <w:rFonts w:ascii="Calibri" w:eastAsia="Microsoft YaHei"/>
        </w:rPr>
        <w:t xml:space="preserve">	</w:t>
      </w:r>
      <w:r>
        <w:rPr>
          <w:rFonts w:ascii="Calibri" w:eastAsia="Microsoft YaHei"/>
          <w:color w:val="777777"/>
          <w:sz w:val="16"/>
          <w:szCs w:val="16"/>
        </w:rPr>
        <w:t xml:space="preserve">2022 – 2024</w:t>
      </w:r>
    </w:p>
    <w:p>
      <w:pPr>
        <w:spacing w:after="16" w:before="16" w:line="260"/>
        <w:ind w:left="160" w:hanging="160"/>
      </w:pPr>
      <w:r>
        <w:rPr>
          <w:rFonts w:ascii="Calibri" w:eastAsia="Microsoft YaHei"/>
          <w:color w:val="2A6496"/>
          <w:sz w:val="17"/>
          <w:szCs w:val="17"/>
        </w:rPr>
        <w:t xml:space="preserve">•</w:t>
      </w:r>
      <w:r>
        <w:rPr>
          <w:rFonts w:ascii="Calibri" w:eastAsia="Microsoft YaHei"/>
          <w:color w:val="333333"/>
          <w:sz w:val="17"/>
          <w:szCs w:val="17"/>
        </w:rPr>
        <w:t xml:space="preserve">  Built backend features using PostgreSQL, resolved L2 production incidents using ELK Stack log analysis and source code investigation, and supported partner development teams with API integration onboarding</w:t>
      </w:r>
    </w:p>
    <w:p>
      <w:pPr>
        <w:spacing w:after="0" w:before="5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906"/>
      </w:tblGrid>
      <w:tr>
        <w:trPr>
          <w:trHeight w:val="320" w:hRule="exact"/>
        </w:trPr>
        <w:tc>
          <w:tcPr>
            <w:tcW w:type="pct" w:w="100%"/>
            <w:tcBorders>
              <w:top w:val="none" w:color="FFFFFF" w:sz="0"/>
              <w:left w:val="none" w:color="FFFFFF" w:sz="0"/>
              <w:bottom w:val="single" w:color="2A6496" w:sz="6"/>
              <w:right w:val="none" w:color="FFFFFF" w:sz="0"/>
            </w:tcBorders>
            <w:vAlign w:val="bottom"/>
          </w:tcPr>
          <w:p>
            <w:pPr>
              <w:spacing w:after="30" w:before="60"/>
            </w:pPr>
            <w:r>
              <w:rPr>
                <w:rFonts w:ascii="Calibri" w:eastAsia="Microsoft YaHei"/>
                <w:b/>
                <w:bCs/>
                <w:color w:val="2A6496"/>
                <w:spacing w:val="80"/>
                <w:sz w:val="19"/>
                <w:szCs w:val="19"/>
              </w:rPr>
              <w:t xml:space="preserve">TECHNICAL FOUNDATION</w:t>
            </w:r>
          </w:p>
        </w:tc>
      </w:tr>
    </w:tbl>
    <w:p>
      <w:pPr>
        <w:spacing w:after="0" w:before="30"/>
      </w:pPr>
    </w:p>
    <w:p>
      <w:pPr>
        <w:spacing w:after="16" w:before="16" w:line="260"/>
        <w:jc w:val="both"/>
      </w:pPr>
      <w:r>
        <w:rPr>
          <w:rFonts w:ascii="Calibri" w:eastAsia="Microsoft YaHei"/>
          <w:color w:val="333333"/>
          <w:sz w:val="18"/>
          <w:szCs w:val="18"/>
        </w:rPr>
        <w:t xml:space="preserve">15+ years in software engineering (Central Bank of Azerbaijan, Unibank, ASAN Service) covering backend development (C#), relational and NoSQL databases (Oracle, MSSQL, PostgreSQL, MongoDB), system integration, version control with Git, and CI/CD pipelines. Enables precise requirement-to-code translation and rapid root cause analysis during production incidents.</w:t>
      </w:r>
    </w:p>
    <w:p>
      <w:pPr>
        <w:spacing w:after="0" w:before="5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906"/>
      </w:tblGrid>
      <w:tr>
        <w:trPr>
          <w:trHeight w:val="320" w:hRule="exact"/>
        </w:trPr>
        <w:tc>
          <w:tcPr>
            <w:tcW w:type="pct" w:w="100%"/>
            <w:tcBorders>
              <w:top w:val="none" w:color="FFFFFF" w:sz="0"/>
              <w:left w:val="none" w:color="FFFFFF" w:sz="0"/>
              <w:bottom w:val="single" w:color="2A6496" w:sz="6"/>
              <w:right w:val="none" w:color="FFFFFF" w:sz="0"/>
            </w:tcBorders>
            <w:vAlign w:val="bottom"/>
          </w:tcPr>
          <w:p>
            <w:pPr>
              <w:spacing w:after="30" w:before="60"/>
            </w:pPr>
            <w:r>
              <w:rPr>
                <w:rFonts w:ascii="Calibri" w:eastAsia="Microsoft YaHei"/>
                <w:b/>
                <w:bCs/>
                <w:color w:val="2A6496"/>
                <w:spacing w:val="80"/>
                <w:sz w:val="19"/>
                <w:szCs w:val="19"/>
              </w:rPr>
              <w:t xml:space="preserve">EDUCATION</w:t>
            </w:r>
          </w:p>
        </w:tc>
      </w:tr>
    </w:tbl>
    <w:p>
      <w:pPr>
        <w:spacing w:after="0" w:before="30"/>
      </w:pPr>
    </w:p>
    <w:p>
      <w:pPr>
        <w:spacing w:after="16" w:before="16" w:line="260"/>
      </w:pPr>
      <w:r>
        <w:rPr>
          <w:rFonts w:ascii="Calibri" w:eastAsia="Microsoft YaHei"/>
          <w:b/>
          <w:bCs/>
          <w:color w:val="1A1A1A"/>
          <w:sz w:val="19"/>
          <w:szCs w:val="19"/>
        </w:rPr>
        <w:t xml:space="preserve">Baku State University</w:t>
      </w:r>
      <w:r>
        <w:rPr>
          <w:rFonts w:ascii="Calibri" w:eastAsia="Microsoft YaHei"/>
          <w:color w:val="777777"/>
          <w:sz w:val="18"/>
          <w:szCs w:val="18"/>
        </w:rPr>
        <w:t xml:space="preserve">  —  </w:t>
      </w:r>
      <w:r>
        <w:rPr>
          <w:rFonts w:ascii="Calibri" w:eastAsia="Microsoft YaHei"/>
          <w:color w:val="333333"/>
          <w:sz w:val="18"/>
          <w:szCs w:val="18"/>
        </w:rPr>
        <w:t xml:space="preserve">Bachelor of Science in Applied Mathematics</w:t>
      </w:r>
    </w:p>
    <w:sectPr>
      <w:pgSz w:w="11906" w:h="16838" w:orient="portrait"/>
      <w:pgMar w:top="550" w:right="950" w:bottom="450" w:left="9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Microsoft YaHei"/>
        <w:color w:val="333333"/>
        <w:sz w:val="18"/>
        <w:szCs w:val="18"/>
      </w:rPr>
    </w:rPrDefault>
    <w:pPrDefault>
      <w:pPr>
        <w:spacing w:line="2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2026-04-25T03:02:44.666Z</dcterms:created>
  <dcterms:modified xsi:type="dcterms:W3CDTF">2026-04-25T03:02:44.666Z</dcterms:modified>
</cp:coreProperties>
</file>

<file path=docProps/custom.xml><?xml version="1.0" encoding="utf-8"?>
<Properties xmlns="http://schemas.openxmlformats.org/officeDocument/2006/custom-properties" xmlns:vt="http://schemas.openxmlformats.org/officeDocument/2006/docPropsVTypes"/>
</file>