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Calibri" w:hAnsi="Calibri"/>
          <w:b/>
          <w:color w:val="005A9C"/>
          <w:sz w:val="40"/>
        </w:rPr>
        <w:t>STATE EMPLOYMENT AGENCY</w:t>
      </w:r>
    </w:p>
    <w:p>
      <w:pPr>
        <w:spacing w:after="400"/>
        <w:jc w:val="center"/>
      </w:pPr>
      <w:r>
        <w:rPr>
          <w:rFonts w:ascii="Calibri" w:hAnsi="Calibri"/>
          <w:b/>
          <w:color w:val="212529"/>
          <w:sz w:val="56"/>
        </w:rPr>
        <w:t>Service Design Document (SDD)</w:t>
      </w:r>
    </w:p>
    <w:p>
      <w:pPr>
        <w:spacing w:after="600"/>
        <w:jc w:val="center"/>
      </w:pPr>
      <w:r>
        <w:rPr>
          <w:rFonts w:ascii="Calibri" w:hAnsi="Calibri"/>
          <w:color w:val="595959"/>
          <w:sz w:val="28"/>
        </w:rPr>
        <w:t>Labour and Employment Subsystem (LMAS)</w:t>
        <w:br/>
        <w:t>End-to-End Service Design</w:t>
      </w:r>
    </w:p>
    <w:tbl>
      <w:tblPr>
        <w:tblW w:type="auto" w:w="0"/>
        <w:jc w:val="center"/>
        <w:tblLook w:firstColumn="1" w:firstRow="1" w:lastColumn="0" w:lastRow="0" w:noHBand="0" w:noVBand="1" w:val="04A0"/>
      </w:tblPr>
      <w:tblGrid>
        <w:gridCol w:w="4561"/>
        <w:gridCol w:w="4561"/>
      </w:tblGrid>
      <w:tr>
        <w:tc>
          <w:tcPr>
            <w:tcW w:type="dxa" w:w="4561"/>
          </w:tcPr>
          <w:p>
            <w:r>
              <w:rPr>
                <w:rFonts w:ascii="Calibri" w:hAnsi="Calibri"/>
                <w:b/>
                <w:color w:val="212529"/>
                <w:sz w:val="22"/>
              </w:rPr>
              <w:t>Version</w:t>
            </w:r>
          </w:p>
        </w:tc>
        <w:tc>
          <w:tcPr>
            <w:tcW w:type="dxa" w:w="4561"/>
          </w:tcPr>
          <w:p>
            <w:r>
              <w:rPr>
                <w:rFonts w:ascii="Calibri" w:hAnsi="Calibri"/>
                <w:color w:val="212529"/>
                <w:sz w:val="22"/>
              </w:rPr>
              <w:t>1.0</w:t>
            </w:r>
          </w:p>
        </w:tc>
      </w:tr>
      <w:tr>
        <w:tc>
          <w:tcPr>
            <w:tcW w:type="dxa" w:w="4561"/>
          </w:tcPr>
          <w:p>
            <w:r>
              <w:rPr>
                <w:rFonts w:ascii="Calibri" w:hAnsi="Calibri"/>
                <w:b/>
                <w:color w:val="212529"/>
                <w:sz w:val="22"/>
              </w:rPr>
              <w:t>Date</w:t>
            </w:r>
          </w:p>
        </w:tc>
        <w:tc>
          <w:tcPr>
            <w:tcW w:type="dxa" w:w="4561"/>
          </w:tcPr>
          <w:p>
            <w:r>
              <w:rPr>
                <w:rFonts w:ascii="Calibri" w:hAnsi="Calibri"/>
                <w:color w:val="212529"/>
                <w:sz w:val="22"/>
              </w:rPr>
              <w:t>May 2026</w:t>
            </w:r>
          </w:p>
        </w:tc>
      </w:tr>
      <w:tr>
        <w:tc>
          <w:tcPr>
            <w:tcW w:type="dxa" w:w="4561"/>
          </w:tcPr>
          <w:p>
            <w:r>
              <w:rPr>
                <w:rFonts w:ascii="Calibri" w:hAnsi="Calibri"/>
                <w:b/>
                <w:color w:val="212529"/>
                <w:sz w:val="22"/>
              </w:rPr>
              <w:t>Author</w:t>
            </w:r>
          </w:p>
        </w:tc>
        <w:tc>
          <w:tcPr>
            <w:tcW w:type="dxa" w:w="4561"/>
          </w:tcPr>
          <w:p>
            <w:r>
              <w:rPr>
                <w:rFonts w:ascii="Calibri" w:hAnsi="Calibri"/>
                <w:color w:val="212529"/>
                <w:sz w:val="22"/>
              </w:rPr>
              <w:t>Business Analysis Team</w:t>
            </w:r>
          </w:p>
        </w:tc>
      </w:tr>
      <w:tr>
        <w:tc>
          <w:tcPr>
            <w:tcW w:type="dxa" w:w="4561"/>
          </w:tcPr>
          <w:p>
            <w:r>
              <w:rPr>
                <w:rFonts w:ascii="Calibri" w:hAnsi="Calibri"/>
                <w:b/>
                <w:color w:val="212529"/>
                <w:sz w:val="22"/>
              </w:rPr>
              <w:t>Classification</w:t>
            </w:r>
          </w:p>
        </w:tc>
        <w:tc>
          <w:tcPr>
            <w:tcW w:type="dxa" w:w="4561"/>
          </w:tcPr>
          <w:p>
            <w:r>
              <w:rPr>
                <w:rFonts w:ascii="Calibri" w:hAnsi="Calibri"/>
                <w:color w:val="212529"/>
                <w:sz w:val="22"/>
              </w:rPr>
              <w:t>Internal</w:t>
            </w:r>
          </w:p>
        </w:tc>
      </w:tr>
      <w:tr>
        <w:tc>
          <w:tcPr>
            <w:tcW w:type="dxa" w:w="4561"/>
          </w:tcPr>
          <w:p>
            <w:r>
              <w:rPr>
                <w:rFonts w:ascii="Calibri" w:hAnsi="Calibri"/>
                <w:b/>
                <w:color w:val="212529"/>
                <w:sz w:val="22"/>
              </w:rPr>
              <w:t>Status</w:t>
            </w:r>
          </w:p>
        </w:tc>
        <w:tc>
          <w:tcPr>
            <w:tcW w:type="dxa" w:w="4561"/>
          </w:tcPr>
          <w:p>
            <w:r>
              <w:rPr>
                <w:rFonts w:ascii="Calibri" w:hAnsi="Calibri"/>
                <w:color w:val="212529"/>
                <w:sz w:val="22"/>
              </w:rPr>
              <w:t>Draft</w:t>
            </w:r>
          </w:p>
        </w:tc>
      </w:tr>
    </w:tbl>
    <w:p>
      <w:r>
        <w:br w:type="page"/>
      </w:r>
    </w:p>
    <w:p>
      <w:pPr>
        <w:pStyle w:val="Heading1"/>
      </w:pPr>
      <w:r>
        <w:rPr>
          <w:rFonts w:ascii="Calibri" w:hAnsi="Calibri"/>
          <w:color w:val="005A9C"/>
          <w:sz w:val="32"/>
        </w:rPr>
        <w:t>Table of Contents</w:t>
      </w:r>
    </w:p>
    <w:p>
      <w:pPr>
        <w:spacing w:after="40"/>
      </w:pPr>
      <w:r>
        <w:rPr>
          <w:rFonts w:ascii="Calibri" w:hAnsi="Calibri"/>
          <w:color w:val="212529"/>
          <w:sz w:val="22"/>
        </w:rPr>
        <w:t>1. Executive Summary</w:t>
      </w:r>
    </w:p>
    <w:p>
      <w:pPr>
        <w:spacing w:after="40"/>
      </w:pPr>
      <w:r>
        <w:rPr>
          <w:rFonts w:ascii="Calibri" w:hAnsi="Calibri"/>
          <w:color w:val="212529"/>
          <w:sz w:val="22"/>
        </w:rPr>
        <w:t>2. Service Vision and Objectives</w:t>
      </w:r>
    </w:p>
    <w:p>
      <w:pPr>
        <w:spacing w:after="40"/>
      </w:pPr>
      <w:r>
        <w:rPr>
          <w:rFonts w:ascii="Calibri" w:hAnsi="Calibri"/>
          <w:color w:val="212529"/>
          <w:sz w:val="22"/>
        </w:rPr>
        <w:t>3. Service Context and Stakeholder Analysis</w:t>
      </w:r>
    </w:p>
    <w:p>
      <w:pPr>
        <w:spacing w:after="40"/>
      </w:pPr>
      <w:r>
        <w:rPr>
          <w:rFonts w:ascii="Calibri" w:hAnsi="Calibri"/>
          <w:color w:val="212529"/>
          <w:sz w:val="22"/>
        </w:rPr>
        <w:t>4. User Research and Personas</w:t>
      </w:r>
    </w:p>
    <w:p>
      <w:pPr>
        <w:spacing w:after="40"/>
      </w:pPr>
      <w:r>
        <w:rPr>
          <w:rFonts w:ascii="Calibri" w:hAnsi="Calibri"/>
          <w:color w:val="212529"/>
          <w:sz w:val="22"/>
        </w:rPr>
        <w:t>5. As-Is Service Journey Analysis</w:t>
      </w:r>
    </w:p>
    <w:p>
      <w:pPr>
        <w:spacing w:after="40"/>
      </w:pPr>
      <w:r>
        <w:rPr>
          <w:rFonts w:ascii="Calibri" w:hAnsi="Calibri"/>
          <w:color w:val="212529"/>
          <w:sz w:val="22"/>
        </w:rPr>
        <w:t>6. To-Be Service Design</w:t>
      </w:r>
    </w:p>
    <w:p>
      <w:pPr>
        <w:spacing w:after="40"/>
      </w:pPr>
      <w:r>
        <w:rPr>
          <w:rFonts w:ascii="Calibri" w:hAnsi="Calibri"/>
          <w:color w:val="212529"/>
          <w:sz w:val="22"/>
        </w:rPr>
        <w:t>7. Service Blueprint</w:t>
      </w:r>
    </w:p>
    <w:p>
      <w:pPr>
        <w:spacing w:after="40"/>
      </w:pPr>
      <w:r>
        <w:rPr>
          <w:rFonts w:ascii="Calibri" w:hAnsi="Calibri"/>
          <w:color w:val="212529"/>
          <w:sz w:val="22"/>
        </w:rPr>
        <w:t>8. Service Channels and Touchpoints</w:t>
      </w:r>
    </w:p>
    <w:p>
      <w:pPr>
        <w:spacing w:after="40"/>
      </w:pPr>
      <w:r>
        <w:rPr>
          <w:rFonts w:ascii="Calibri" w:hAnsi="Calibri"/>
          <w:color w:val="212529"/>
          <w:sz w:val="22"/>
        </w:rPr>
        <w:t>9. Multi-Agency Coordination Model</w:t>
      </w:r>
    </w:p>
    <w:p>
      <w:pPr>
        <w:spacing w:after="40"/>
      </w:pPr>
      <w:r>
        <w:rPr>
          <w:rFonts w:ascii="Calibri" w:hAnsi="Calibri"/>
          <w:color w:val="212529"/>
          <w:sz w:val="22"/>
        </w:rPr>
        <w:t>10. Service Standards (SLA and KPI)</w:t>
      </w:r>
    </w:p>
    <w:p>
      <w:pPr>
        <w:spacing w:after="40"/>
      </w:pPr>
      <w:r>
        <w:rPr>
          <w:rFonts w:ascii="Calibri" w:hAnsi="Calibri"/>
          <w:color w:val="212529"/>
          <w:sz w:val="22"/>
        </w:rPr>
        <w:t>11. Service Portfolio Alignment</w:t>
      </w:r>
    </w:p>
    <w:p>
      <w:pPr>
        <w:spacing w:after="40"/>
      </w:pPr>
      <w:r>
        <w:rPr>
          <w:rFonts w:ascii="Calibri" w:hAnsi="Calibri"/>
          <w:color w:val="212529"/>
          <w:sz w:val="22"/>
        </w:rPr>
        <w:t>12. Process Architecture</w:t>
      </w:r>
    </w:p>
    <w:p>
      <w:pPr>
        <w:spacing w:after="40"/>
      </w:pPr>
      <w:r>
        <w:rPr>
          <w:rFonts w:ascii="Calibri" w:hAnsi="Calibri"/>
          <w:color w:val="212529"/>
          <w:sz w:val="22"/>
        </w:rPr>
        <w:t>13. Implementation Roadmap</w:t>
      </w:r>
    </w:p>
    <w:p>
      <w:pPr>
        <w:spacing w:after="40"/>
      </w:pPr>
      <w:r>
        <w:rPr>
          <w:rFonts w:ascii="Calibri" w:hAnsi="Calibri"/>
          <w:color w:val="212529"/>
          <w:sz w:val="22"/>
        </w:rPr>
        <w:t>14. Risks and Dependencies</w:t>
      </w:r>
    </w:p>
    <w:p>
      <w:pPr>
        <w:spacing w:after="40"/>
      </w:pPr>
      <w:r>
        <w:rPr>
          <w:rFonts w:ascii="Calibri" w:hAnsi="Calibri"/>
          <w:color w:val="212529"/>
          <w:sz w:val="22"/>
        </w:rPr>
        <w:t>15. Appendix: Glossary</w:t>
      </w:r>
    </w:p>
    <w:p>
      <w:r>
        <w:br w:type="page"/>
      </w:r>
    </w:p>
    <w:p>
      <w:pPr>
        <w:pStyle w:val="Heading1"/>
      </w:pPr>
      <w:r>
        <w:rPr>
          <w:rFonts w:ascii="Calibri" w:hAnsi="Calibri"/>
          <w:color w:val="005A9C"/>
          <w:sz w:val="32"/>
        </w:rPr>
        <w:t>1. Executive Summary</w:t>
      </w:r>
    </w:p>
    <w:p>
      <w:pPr>
        <w:spacing w:after="120" w:line="320" w:lineRule="exact"/>
        <w:jc w:val="both"/>
      </w:pPr>
      <w:r>
        <w:rPr>
          <w:rFonts w:ascii="Calibri" w:hAnsi="Calibri"/>
          <w:color w:val="212529"/>
          <w:sz w:val="22"/>
        </w:rPr>
        <w:t>This Service Design Document describes the end-to-end design of the Labour and Employment Subsystem (LMAS), a digital government service that allows citizens to access employment-related services through online channels. The service is being designed for the State Employment Agency of Azerbaijan with the goal of improving service accessibility, reducing processing time and increasing citizen satisfaction.</w:t>
      </w:r>
    </w:p>
    <w:p>
      <w:pPr>
        <w:spacing w:after="120" w:line="320" w:lineRule="exact"/>
        <w:jc w:val="both"/>
      </w:pPr>
      <w:r>
        <w:rPr>
          <w:rFonts w:ascii="Calibri" w:hAnsi="Calibri"/>
          <w:color w:val="212529"/>
          <w:sz w:val="22"/>
        </w:rPr>
        <w:t>The current employment service process requires citizens to visit government offices in person, submit paper documents and wait for manual processing. This approach creates bottlenecks, limits accessibility for citizens outside of Baku and does not provide real-time status tracking. The LMAS project aims to digitize the full citizen service journey from application submission to final result delivery.</w:t>
      </w:r>
    </w:p>
    <w:p>
      <w:pPr>
        <w:spacing w:after="120" w:line="320" w:lineRule="exact"/>
        <w:jc w:val="both"/>
      </w:pPr>
      <w:r>
        <w:rPr>
          <w:rFonts w:ascii="Calibri" w:hAnsi="Calibri"/>
          <w:color w:val="212529"/>
          <w:sz w:val="22"/>
        </w:rPr>
        <w:t>The service design follows a citizen-centered approach, using life-event-based service grouping where employment services are organized around key life events such as job search, unemployment registration and labor contract management. The design includes multiple digital channels (web portal, Telegram bot), a real-time monitoring dashboard and integration with other government systems through a single-window architecture.</w:t>
      </w:r>
    </w:p>
    <w:p>
      <w:pPr>
        <w:pStyle w:val="Heading3"/>
      </w:pPr>
      <w:r>
        <w:rPr>
          <w:rFonts w:ascii="Calibri" w:hAnsi="Calibri"/>
          <w:color w:val="212529"/>
          <w:sz w:val="24"/>
        </w:rPr>
        <w:t>Key Design Decisions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Decision Area</w:t>
            </w:r>
          </w:p>
        </w:tc>
        <w:tc>
          <w:tcPr>
            <w:tcW w:type="dxa" w:w="4561"/>
            <w:shd w:fill="005A9C" w:val="clear"/>
          </w:tcPr>
          <w:p>
            <w:r/>
            <w:r>
              <w:rPr>
                <w:rFonts w:ascii="Calibri" w:hAnsi="Calibri"/>
                <w:b/>
                <w:color w:val="FFFFFF"/>
                <w:sz w:val="20"/>
              </w:rPr>
              <w:t>Selected Approach</w:t>
            </w:r>
          </w:p>
        </w:tc>
      </w:tr>
      <w:tr>
        <w:tc>
          <w:tcPr>
            <w:tcW w:type="dxa" w:w="4561"/>
          </w:tcPr>
          <w:p>
            <w:r/>
            <w:r>
              <w:rPr>
                <w:rFonts w:ascii="Calibri" w:hAnsi="Calibri"/>
                <w:color w:val="212529"/>
                <w:sz w:val="20"/>
              </w:rPr>
              <w:t>Citizen journey model</w:t>
            </w:r>
          </w:p>
        </w:tc>
        <w:tc>
          <w:tcPr>
            <w:tcW w:type="dxa" w:w="4561"/>
          </w:tcPr>
          <w:p>
            <w:r/>
            <w:r>
              <w:rPr>
                <w:rFonts w:ascii="Calibri" w:hAnsi="Calibri"/>
                <w:color w:val="212529"/>
                <w:sz w:val="20"/>
              </w:rPr>
              <w:t>Life-event-based service journey from application to result</w:t>
            </w:r>
          </w:p>
        </w:tc>
      </w:tr>
      <w:tr>
        <w:tc>
          <w:tcPr>
            <w:tcW w:type="dxa" w:w="4561"/>
          </w:tcPr>
          <w:p>
            <w:r/>
            <w:r>
              <w:rPr>
                <w:rFonts w:ascii="Calibri" w:hAnsi="Calibri"/>
                <w:color w:val="212529"/>
                <w:sz w:val="20"/>
              </w:rPr>
              <w:t>Primary digital channel</w:t>
            </w:r>
          </w:p>
        </w:tc>
        <w:tc>
          <w:tcPr>
            <w:tcW w:type="dxa" w:w="4561"/>
          </w:tcPr>
          <w:p>
            <w:r/>
            <w:r>
              <w:rPr>
                <w:rFonts w:ascii="Calibri" w:hAnsi="Calibri"/>
                <w:color w:val="212529"/>
                <w:sz w:val="20"/>
              </w:rPr>
              <w:t>Telegram bot for application submission and status tracking</w:t>
            </w:r>
          </w:p>
        </w:tc>
      </w:tr>
      <w:tr>
        <w:tc>
          <w:tcPr>
            <w:tcW w:type="dxa" w:w="4561"/>
          </w:tcPr>
          <w:p>
            <w:r/>
            <w:r>
              <w:rPr>
                <w:rFonts w:ascii="Calibri" w:hAnsi="Calibri"/>
                <w:color w:val="212529"/>
                <w:sz w:val="20"/>
              </w:rPr>
              <w:t>Secondary channel</w:t>
            </w:r>
          </w:p>
        </w:tc>
        <w:tc>
          <w:tcPr>
            <w:tcW w:type="dxa" w:w="4561"/>
          </w:tcPr>
          <w:p>
            <w:r/>
            <w:r>
              <w:rPr>
                <w:rFonts w:ascii="Calibri" w:hAnsi="Calibri"/>
                <w:color w:val="212529"/>
                <w:sz w:val="20"/>
              </w:rPr>
              <w:t>Web portal for detailed service access and document upload</w:t>
            </w:r>
          </w:p>
        </w:tc>
      </w:tr>
      <w:tr>
        <w:tc>
          <w:tcPr>
            <w:tcW w:type="dxa" w:w="4561"/>
          </w:tcPr>
          <w:p>
            <w:r/>
            <w:r>
              <w:rPr>
                <w:rFonts w:ascii="Calibri" w:hAnsi="Calibri"/>
                <w:color w:val="212529"/>
                <w:sz w:val="20"/>
              </w:rPr>
              <w:t>Monitoring</w:t>
            </w:r>
          </w:p>
        </w:tc>
        <w:tc>
          <w:tcPr>
            <w:tcW w:type="dxa" w:w="4561"/>
          </w:tcPr>
          <w:p>
            <w:r/>
            <w:r>
              <w:rPr>
                <w:rFonts w:ascii="Calibri" w:hAnsi="Calibri"/>
                <w:color w:val="212529"/>
                <w:sz w:val="20"/>
              </w:rPr>
              <w:t>Real-time management dashboard with SLA and KPI tracking</w:t>
            </w:r>
          </w:p>
        </w:tc>
      </w:tr>
      <w:tr>
        <w:tc>
          <w:tcPr>
            <w:tcW w:type="dxa" w:w="4561"/>
          </w:tcPr>
          <w:p>
            <w:r/>
            <w:r>
              <w:rPr>
                <w:rFonts w:ascii="Calibri" w:hAnsi="Calibri"/>
                <w:color w:val="212529"/>
                <w:sz w:val="20"/>
              </w:rPr>
              <w:t>Integration</w:t>
            </w:r>
          </w:p>
        </w:tc>
        <w:tc>
          <w:tcPr>
            <w:tcW w:type="dxa" w:w="4561"/>
          </w:tcPr>
          <w:p>
            <w:r/>
            <w:r>
              <w:rPr>
                <w:rFonts w:ascii="Calibri" w:hAnsi="Calibri"/>
                <w:color w:val="212529"/>
                <w:sz w:val="20"/>
              </w:rPr>
              <w:t>Multi-agency data exchange with 5+ government organizations</w:t>
            </w:r>
          </w:p>
        </w:tc>
      </w:tr>
      <w:tr>
        <w:tc>
          <w:tcPr>
            <w:tcW w:type="dxa" w:w="4561"/>
          </w:tcPr>
          <w:p>
            <w:r/>
            <w:r>
              <w:rPr>
                <w:rFonts w:ascii="Calibri" w:hAnsi="Calibri"/>
                <w:color w:val="212529"/>
                <w:sz w:val="20"/>
              </w:rPr>
              <w:t>Methodology</w:t>
            </w:r>
          </w:p>
        </w:tc>
        <w:tc>
          <w:tcPr>
            <w:tcW w:type="dxa" w:w="4561"/>
          </w:tcPr>
          <w:p>
            <w:r/>
            <w:r>
              <w:rPr>
                <w:rFonts w:ascii="Calibri" w:hAnsi="Calibri"/>
                <w:color w:val="212529"/>
                <w:sz w:val="20"/>
              </w:rPr>
              <w:t>End-to-end process architecture with As-Is / To-Be analysis</w:t>
            </w:r>
          </w:p>
        </w:tc>
      </w:tr>
    </w:tbl>
    <w:p/>
    <w:p>
      <w:pPr>
        <w:pStyle w:val="Heading1"/>
      </w:pPr>
      <w:r>
        <w:rPr>
          <w:rFonts w:ascii="Calibri" w:hAnsi="Calibri"/>
          <w:color w:val="005A9C"/>
          <w:sz w:val="32"/>
        </w:rPr>
        <w:t>2. Service Vision and Objectives</w:t>
      </w:r>
    </w:p>
    <w:p>
      <w:pPr>
        <w:pStyle w:val="Heading2"/>
      </w:pPr>
      <w:r>
        <w:rPr>
          <w:rFonts w:ascii="Calibri" w:hAnsi="Calibri"/>
          <w:color w:val="212529"/>
          <w:sz w:val="28"/>
        </w:rPr>
        <w:t>2.1 Service Vision</w:t>
      </w:r>
    </w:p>
    <w:p>
      <w:pPr>
        <w:spacing w:after="120" w:line="320" w:lineRule="exact"/>
        <w:jc w:val="both"/>
      </w:pPr>
      <w:r>
        <w:rPr>
          <w:rFonts w:ascii="Calibri" w:hAnsi="Calibri"/>
          <w:color w:val="212529"/>
          <w:sz w:val="22"/>
        </w:rPr>
        <w:t>To provide every citizen in Azerbaijan with accessible, transparent and efficient employment services through digital channels, reducing the need for physical office visits while maintaining high service quality standards.</w:t>
      </w:r>
    </w:p>
    <w:p>
      <w:pPr>
        <w:pStyle w:val="Heading2"/>
      </w:pPr>
      <w:r>
        <w:rPr>
          <w:rFonts w:ascii="Calibri" w:hAnsi="Calibri"/>
          <w:color w:val="212529"/>
          <w:sz w:val="28"/>
        </w:rPr>
        <w:t>2.2 Strategic Objectives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ID</w:t>
            </w:r>
          </w:p>
        </w:tc>
        <w:tc>
          <w:tcPr>
            <w:tcW w:type="dxa" w:w="3041"/>
            <w:shd w:fill="005A9C" w:val="clear"/>
          </w:tcPr>
          <w:p>
            <w:r/>
            <w:r>
              <w:rPr>
                <w:rFonts w:ascii="Calibri" w:hAnsi="Calibri"/>
                <w:b/>
                <w:color w:val="FFFFFF"/>
                <w:sz w:val="20"/>
              </w:rPr>
              <w:t>Objective</w:t>
            </w:r>
          </w:p>
        </w:tc>
        <w:tc>
          <w:tcPr>
            <w:tcW w:type="dxa" w:w="3041"/>
            <w:shd w:fill="005A9C" w:val="clear"/>
          </w:tcPr>
          <w:p>
            <w:r/>
            <w:r>
              <w:rPr>
                <w:rFonts w:ascii="Calibri" w:hAnsi="Calibri"/>
                <w:b/>
                <w:color w:val="FFFFFF"/>
                <w:sz w:val="20"/>
              </w:rPr>
              <w:t>Priority</w:t>
            </w:r>
          </w:p>
        </w:tc>
      </w:tr>
      <w:tr>
        <w:tc>
          <w:tcPr>
            <w:tcW w:type="dxa" w:w="3041"/>
          </w:tcPr>
          <w:p>
            <w:r/>
            <w:r>
              <w:rPr>
                <w:rFonts w:ascii="Calibri" w:hAnsi="Calibri"/>
                <w:color w:val="212529"/>
                <w:sz w:val="20"/>
              </w:rPr>
              <w:t>OBJ-01</w:t>
            </w:r>
          </w:p>
        </w:tc>
        <w:tc>
          <w:tcPr>
            <w:tcW w:type="dxa" w:w="3041"/>
          </w:tcPr>
          <w:p>
            <w:r/>
            <w:r>
              <w:rPr>
                <w:rFonts w:ascii="Calibri" w:hAnsi="Calibri"/>
                <w:color w:val="212529"/>
                <w:sz w:val="20"/>
              </w:rPr>
              <w:t>Increase digital service adoption rate to 60% within the first year of operation</w:t>
            </w:r>
          </w:p>
        </w:tc>
        <w:tc>
          <w:tcPr>
            <w:tcW w:type="dxa" w:w="3041"/>
          </w:tcPr>
          <w:p>
            <w:r/>
            <w:r>
              <w:rPr>
                <w:rFonts w:ascii="Calibri" w:hAnsi="Calibri"/>
                <w:color w:val="212529"/>
                <w:sz w:val="20"/>
              </w:rPr>
              <w:t>High</w:t>
            </w:r>
          </w:p>
        </w:tc>
      </w:tr>
      <w:tr>
        <w:tc>
          <w:tcPr>
            <w:tcW w:type="dxa" w:w="3041"/>
          </w:tcPr>
          <w:p>
            <w:r/>
            <w:r>
              <w:rPr>
                <w:rFonts w:ascii="Calibri" w:hAnsi="Calibri"/>
                <w:color w:val="212529"/>
                <w:sz w:val="20"/>
              </w:rPr>
              <w:t>OBJ-02</w:t>
            </w:r>
          </w:p>
        </w:tc>
        <w:tc>
          <w:tcPr>
            <w:tcW w:type="dxa" w:w="3041"/>
          </w:tcPr>
          <w:p>
            <w:r/>
            <w:r>
              <w:rPr>
                <w:rFonts w:ascii="Calibri" w:hAnsi="Calibri"/>
                <w:color w:val="212529"/>
                <w:sz w:val="20"/>
              </w:rPr>
              <w:t>Reduce average service processing time from 14 days to 5 business days</w:t>
            </w:r>
          </w:p>
        </w:tc>
        <w:tc>
          <w:tcPr>
            <w:tcW w:type="dxa" w:w="3041"/>
          </w:tcPr>
          <w:p>
            <w:r/>
            <w:r>
              <w:rPr>
                <w:rFonts w:ascii="Calibri" w:hAnsi="Calibri"/>
                <w:color w:val="212529"/>
                <w:sz w:val="20"/>
              </w:rPr>
              <w:t>High</w:t>
            </w:r>
          </w:p>
        </w:tc>
      </w:tr>
      <w:tr>
        <w:tc>
          <w:tcPr>
            <w:tcW w:type="dxa" w:w="3041"/>
          </w:tcPr>
          <w:p>
            <w:r/>
            <w:r>
              <w:rPr>
                <w:rFonts w:ascii="Calibri" w:hAnsi="Calibri"/>
                <w:color w:val="212529"/>
                <w:sz w:val="20"/>
              </w:rPr>
              <w:t>OBJ-03</w:t>
            </w:r>
          </w:p>
        </w:tc>
        <w:tc>
          <w:tcPr>
            <w:tcW w:type="dxa" w:w="3041"/>
          </w:tcPr>
          <w:p>
            <w:r/>
            <w:r>
              <w:rPr>
                <w:rFonts w:ascii="Calibri" w:hAnsi="Calibri"/>
                <w:color w:val="212529"/>
                <w:sz w:val="20"/>
              </w:rPr>
              <w:t>Eliminate the requirement for physical office visits for standard employment services</w:t>
            </w:r>
          </w:p>
        </w:tc>
        <w:tc>
          <w:tcPr>
            <w:tcW w:type="dxa" w:w="3041"/>
          </w:tcPr>
          <w:p>
            <w:r/>
            <w:r>
              <w:rPr>
                <w:rFonts w:ascii="Calibri" w:hAnsi="Calibri"/>
                <w:color w:val="212529"/>
                <w:sz w:val="20"/>
              </w:rPr>
              <w:t>Medium</w:t>
            </w:r>
          </w:p>
        </w:tc>
      </w:tr>
      <w:tr>
        <w:tc>
          <w:tcPr>
            <w:tcW w:type="dxa" w:w="3041"/>
          </w:tcPr>
          <w:p>
            <w:r/>
            <w:r>
              <w:rPr>
                <w:rFonts w:ascii="Calibri" w:hAnsi="Calibri"/>
                <w:color w:val="212529"/>
                <w:sz w:val="20"/>
              </w:rPr>
              <w:t>OBJ-04</w:t>
            </w:r>
          </w:p>
        </w:tc>
        <w:tc>
          <w:tcPr>
            <w:tcW w:type="dxa" w:w="3041"/>
          </w:tcPr>
          <w:p>
            <w:r/>
            <w:r>
              <w:rPr>
                <w:rFonts w:ascii="Calibri" w:hAnsi="Calibri"/>
                <w:color w:val="212529"/>
                <w:sz w:val="20"/>
              </w:rPr>
              <w:t>Provide real-time application status tracking for 100% of submitted applications</w:t>
            </w:r>
          </w:p>
        </w:tc>
        <w:tc>
          <w:tcPr>
            <w:tcW w:type="dxa" w:w="3041"/>
          </w:tcPr>
          <w:p>
            <w:r/>
            <w:r>
              <w:rPr>
                <w:rFonts w:ascii="Calibri" w:hAnsi="Calibri"/>
                <w:color w:val="212529"/>
                <w:sz w:val="20"/>
              </w:rPr>
              <w:t>High</w:t>
            </w:r>
          </w:p>
        </w:tc>
      </w:tr>
      <w:tr>
        <w:tc>
          <w:tcPr>
            <w:tcW w:type="dxa" w:w="3041"/>
          </w:tcPr>
          <w:p>
            <w:r/>
            <w:r>
              <w:rPr>
                <w:rFonts w:ascii="Calibri" w:hAnsi="Calibri"/>
                <w:color w:val="212529"/>
                <w:sz w:val="20"/>
              </w:rPr>
              <w:t>OBJ-05</w:t>
            </w:r>
          </w:p>
        </w:tc>
        <w:tc>
          <w:tcPr>
            <w:tcW w:type="dxa" w:w="3041"/>
          </w:tcPr>
          <w:p>
            <w:r/>
            <w:r>
              <w:rPr>
                <w:rFonts w:ascii="Calibri" w:hAnsi="Calibri"/>
                <w:color w:val="212529"/>
                <w:sz w:val="20"/>
              </w:rPr>
              <w:t>Achieve citizen satisfaction score of 4.0 or higher (out of 5.0)</w:t>
            </w:r>
          </w:p>
        </w:tc>
        <w:tc>
          <w:tcPr>
            <w:tcW w:type="dxa" w:w="3041"/>
          </w:tcPr>
          <w:p>
            <w:r/>
            <w:r>
              <w:rPr>
                <w:rFonts w:ascii="Calibri" w:hAnsi="Calibri"/>
                <w:color w:val="212529"/>
                <w:sz w:val="20"/>
              </w:rPr>
              <w:t>Medium</w:t>
            </w:r>
          </w:p>
        </w:tc>
      </w:tr>
      <w:tr>
        <w:tc>
          <w:tcPr>
            <w:tcW w:type="dxa" w:w="3041"/>
          </w:tcPr>
          <w:p>
            <w:r/>
            <w:r>
              <w:rPr>
                <w:rFonts w:ascii="Calibri" w:hAnsi="Calibri"/>
                <w:color w:val="212529"/>
                <w:sz w:val="20"/>
              </w:rPr>
              <w:t>OBJ-06</w:t>
            </w:r>
          </w:p>
        </w:tc>
        <w:tc>
          <w:tcPr>
            <w:tcW w:type="dxa" w:w="3041"/>
          </w:tcPr>
          <w:p>
            <w:r/>
            <w:r>
              <w:rPr>
                <w:rFonts w:ascii="Calibri" w:hAnsi="Calibri"/>
                <w:color w:val="212529"/>
                <w:sz w:val="20"/>
              </w:rPr>
              <w:t>Establish SLA compliance rate of 90% or above for all service stages</w:t>
            </w:r>
          </w:p>
        </w:tc>
        <w:tc>
          <w:tcPr>
            <w:tcW w:type="dxa" w:w="3041"/>
          </w:tcPr>
          <w:p>
            <w:r/>
            <w:r>
              <w:rPr>
                <w:rFonts w:ascii="Calibri" w:hAnsi="Calibri"/>
                <w:color w:val="212529"/>
                <w:sz w:val="20"/>
              </w:rPr>
              <w:t>High</w:t>
            </w:r>
          </w:p>
        </w:tc>
      </w:tr>
    </w:tbl>
    <w:p/>
    <w:p>
      <w:pPr>
        <w:pStyle w:val="Heading2"/>
      </w:pPr>
      <w:r>
        <w:rPr>
          <w:rFonts w:ascii="Calibri" w:hAnsi="Calibri"/>
          <w:color w:val="212529"/>
          <w:sz w:val="28"/>
        </w:rPr>
        <w:t>2.3 Success Metrics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Metric</w:t>
            </w:r>
          </w:p>
        </w:tc>
        <w:tc>
          <w:tcPr>
            <w:tcW w:type="dxa" w:w="2280"/>
            <w:shd w:fill="005A9C" w:val="clear"/>
          </w:tcPr>
          <w:p>
            <w:r/>
            <w:r>
              <w:rPr>
                <w:rFonts w:ascii="Calibri" w:hAnsi="Calibri"/>
                <w:b/>
                <w:color w:val="FFFFFF"/>
                <w:sz w:val="20"/>
              </w:rPr>
              <w:t>Description</w:t>
            </w:r>
          </w:p>
        </w:tc>
        <w:tc>
          <w:tcPr>
            <w:tcW w:type="dxa" w:w="2280"/>
            <w:shd w:fill="005A9C" w:val="clear"/>
          </w:tcPr>
          <w:p>
            <w:r/>
            <w:r>
              <w:rPr>
                <w:rFonts w:ascii="Calibri" w:hAnsi="Calibri"/>
                <w:b/>
                <w:color w:val="FFFFFF"/>
                <w:sz w:val="20"/>
              </w:rPr>
              <w:t>Target</w:t>
            </w:r>
          </w:p>
        </w:tc>
        <w:tc>
          <w:tcPr>
            <w:tcW w:type="dxa" w:w="2280"/>
            <w:shd w:fill="005A9C" w:val="clear"/>
          </w:tcPr>
          <w:p>
            <w:r/>
            <w:r>
              <w:rPr>
                <w:rFonts w:ascii="Calibri" w:hAnsi="Calibri"/>
                <w:b/>
                <w:color w:val="FFFFFF"/>
                <w:sz w:val="20"/>
              </w:rPr>
              <w:t>Timeline</w:t>
            </w:r>
          </w:p>
        </w:tc>
      </w:tr>
      <w:tr>
        <w:tc>
          <w:tcPr>
            <w:tcW w:type="dxa" w:w="2280"/>
          </w:tcPr>
          <w:p>
            <w:r/>
            <w:r>
              <w:rPr>
                <w:rFonts w:ascii="Calibri" w:hAnsi="Calibri"/>
                <w:color w:val="212529"/>
                <w:sz w:val="20"/>
              </w:rPr>
              <w:t>Digital adoption rate</w:t>
            </w:r>
          </w:p>
        </w:tc>
        <w:tc>
          <w:tcPr>
            <w:tcW w:type="dxa" w:w="2280"/>
          </w:tcPr>
          <w:p>
            <w:r/>
            <w:r>
              <w:rPr>
                <w:rFonts w:ascii="Calibri" w:hAnsi="Calibri"/>
                <w:color w:val="212529"/>
                <w:sz w:val="20"/>
              </w:rPr>
              <w:t>Percentage of applications submitted through digital channels</w:t>
            </w:r>
          </w:p>
        </w:tc>
        <w:tc>
          <w:tcPr>
            <w:tcW w:type="dxa" w:w="2280"/>
          </w:tcPr>
          <w:p>
            <w:r/>
            <w:r>
              <w:rPr>
                <w:rFonts w:ascii="Calibri" w:hAnsi="Calibri"/>
                <w:color w:val="212529"/>
                <w:sz w:val="20"/>
              </w:rPr>
              <w:t>60%</w:t>
            </w:r>
          </w:p>
        </w:tc>
        <w:tc>
          <w:tcPr>
            <w:tcW w:type="dxa" w:w="2280"/>
          </w:tcPr>
          <w:p>
            <w:r/>
            <w:r>
              <w:rPr>
                <w:rFonts w:ascii="Calibri" w:hAnsi="Calibri"/>
                <w:color w:val="212529"/>
                <w:sz w:val="20"/>
              </w:rPr>
              <w:t>12 months</w:t>
            </w:r>
          </w:p>
        </w:tc>
      </w:tr>
      <w:tr>
        <w:tc>
          <w:tcPr>
            <w:tcW w:type="dxa" w:w="2280"/>
          </w:tcPr>
          <w:p>
            <w:r/>
            <w:r>
              <w:rPr>
                <w:rFonts w:ascii="Calibri" w:hAnsi="Calibri"/>
                <w:color w:val="212529"/>
                <w:sz w:val="20"/>
              </w:rPr>
              <w:t>Average processing time</w:t>
            </w:r>
          </w:p>
        </w:tc>
        <w:tc>
          <w:tcPr>
            <w:tcW w:type="dxa" w:w="2280"/>
          </w:tcPr>
          <w:p>
            <w:r/>
            <w:r>
              <w:rPr>
                <w:rFonts w:ascii="Calibri" w:hAnsi="Calibri"/>
                <w:color w:val="212529"/>
                <w:sz w:val="20"/>
              </w:rPr>
              <w:t>Calendar days from application to final decision</w:t>
            </w:r>
          </w:p>
        </w:tc>
        <w:tc>
          <w:tcPr>
            <w:tcW w:type="dxa" w:w="2280"/>
          </w:tcPr>
          <w:p>
            <w:r/>
            <w:r>
              <w:rPr>
                <w:rFonts w:ascii="Calibri" w:hAnsi="Calibri"/>
                <w:color w:val="212529"/>
                <w:sz w:val="20"/>
              </w:rPr>
              <w:t>5 days</w:t>
            </w:r>
          </w:p>
        </w:tc>
        <w:tc>
          <w:tcPr>
            <w:tcW w:type="dxa" w:w="2280"/>
          </w:tcPr>
          <w:p>
            <w:r/>
            <w:r>
              <w:rPr>
                <w:rFonts w:ascii="Calibri" w:hAnsi="Calibri"/>
                <w:color w:val="212529"/>
                <w:sz w:val="20"/>
              </w:rPr>
              <w:t>6 months</w:t>
            </w:r>
          </w:p>
        </w:tc>
      </w:tr>
      <w:tr>
        <w:tc>
          <w:tcPr>
            <w:tcW w:type="dxa" w:w="2280"/>
          </w:tcPr>
          <w:p>
            <w:r/>
            <w:r>
              <w:rPr>
                <w:rFonts w:ascii="Calibri" w:hAnsi="Calibri"/>
                <w:color w:val="212529"/>
                <w:sz w:val="20"/>
              </w:rPr>
              <w:t>Citizen satisfaction score</w:t>
            </w:r>
          </w:p>
        </w:tc>
        <w:tc>
          <w:tcPr>
            <w:tcW w:type="dxa" w:w="2280"/>
          </w:tcPr>
          <w:p>
            <w:r/>
            <w:r>
              <w:rPr>
                <w:rFonts w:ascii="Calibri" w:hAnsi="Calibri"/>
                <w:color w:val="212529"/>
                <w:sz w:val="20"/>
              </w:rPr>
              <w:t>Average rating from post-service survey</w:t>
            </w:r>
          </w:p>
        </w:tc>
        <w:tc>
          <w:tcPr>
            <w:tcW w:type="dxa" w:w="2280"/>
          </w:tcPr>
          <w:p>
            <w:r/>
            <w:r>
              <w:rPr>
                <w:rFonts w:ascii="Calibri" w:hAnsi="Calibri"/>
                <w:color w:val="212529"/>
                <w:sz w:val="20"/>
              </w:rPr>
              <w:t>4.0 / 5.0</w:t>
            </w:r>
          </w:p>
        </w:tc>
        <w:tc>
          <w:tcPr>
            <w:tcW w:type="dxa" w:w="2280"/>
          </w:tcPr>
          <w:p>
            <w:r/>
            <w:r>
              <w:rPr>
                <w:rFonts w:ascii="Calibri" w:hAnsi="Calibri"/>
                <w:color w:val="212529"/>
                <w:sz w:val="20"/>
              </w:rPr>
              <w:t>12 months</w:t>
            </w:r>
          </w:p>
        </w:tc>
      </w:tr>
      <w:tr>
        <w:tc>
          <w:tcPr>
            <w:tcW w:type="dxa" w:w="2280"/>
          </w:tcPr>
          <w:p>
            <w:r/>
            <w:r>
              <w:rPr>
                <w:rFonts w:ascii="Calibri" w:hAnsi="Calibri"/>
                <w:color w:val="212529"/>
                <w:sz w:val="20"/>
              </w:rPr>
              <w:t>SLA compliance rate</w:t>
            </w:r>
          </w:p>
        </w:tc>
        <w:tc>
          <w:tcPr>
            <w:tcW w:type="dxa" w:w="2280"/>
          </w:tcPr>
          <w:p>
            <w:r/>
            <w:r>
              <w:rPr>
                <w:rFonts w:ascii="Calibri" w:hAnsi="Calibri"/>
                <w:color w:val="212529"/>
                <w:sz w:val="20"/>
              </w:rPr>
              <w:t>Percentage of applications processed within SLA target</w:t>
            </w:r>
          </w:p>
        </w:tc>
        <w:tc>
          <w:tcPr>
            <w:tcW w:type="dxa" w:w="2280"/>
          </w:tcPr>
          <w:p>
            <w:r/>
            <w:r>
              <w:rPr>
                <w:rFonts w:ascii="Calibri" w:hAnsi="Calibri"/>
                <w:color w:val="212529"/>
                <w:sz w:val="20"/>
              </w:rPr>
              <w:t>90%</w:t>
            </w:r>
          </w:p>
        </w:tc>
        <w:tc>
          <w:tcPr>
            <w:tcW w:type="dxa" w:w="2280"/>
          </w:tcPr>
          <w:p>
            <w:r/>
            <w:r>
              <w:rPr>
                <w:rFonts w:ascii="Calibri" w:hAnsi="Calibri"/>
                <w:color w:val="212529"/>
                <w:sz w:val="20"/>
              </w:rPr>
              <w:t>6 months</w:t>
            </w:r>
          </w:p>
        </w:tc>
      </w:tr>
      <w:tr>
        <w:tc>
          <w:tcPr>
            <w:tcW w:type="dxa" w:w="2280"/>
          </w:tcPr>
          <w:p>
            <w:r/>
            <w:r>
              <w:rPr>
                <w:rFonts w:ascii="Calibri" w:hAnsi="Calibri"/>
                <w:color w:val="212529"/>
                <w:sz w:val="20"/>
              </w:rPr>
              <w:t>Office visit reduction</w:t>
            </w:r>
          </w:p>
        </w:tc>
        <w:tc>
          <w:tcPr>
            <w:tcW w:type="dxa" w:w="2280"/>
          </w:tcPr>
          <w:p>
            <w:r/>
            <w:r>
              <w:rPr>
                <w:rFonts w:ascii="Calibri" w:hAnsi="Calibri"/>
                <w:color w:val="212529"/>
                <w:sz w:val="20"/>
              </w:rPr>
              <w:t>Percentage decrease in physical office visits</w:t>
            </w:r>
          </w:p>
        </w:tc>
        <w:tc>
          <w:tcPr>
            <w:tcW w:type="dxa" w:w="2280"/>
          </w:tcPr>
          <w:p>
            <w:r/>
            <w:r>
              <w:rPr>
                <w:rFonts w:ascii="Calibri" w:hAnsi="Calibri"/>
                <w:color w:val="212529"/>
                <w:sz w:val="20"/>
              </w:rPr>
              <w:t>70%</w:t>
            </w:r>
          </w:p>
        </w:tc>
        <w:tc>
          <w:tcPr>
            <w:tcW w:type="dxa" w:w="2280"/>
          </w:tcPr>
          <w:p>
            <w:r/>
            <w:r>
              <w:rPr>
                <w:rFonts w:ascii="Calibri" w:hAnsi="Calibri"/>
                <w:color w:val="212529"/>
                <w:sz w:val="20"/>
              </w:rPr>
              <w:t>12 months</w:t>
            </w:r>
          </w:p>
        </w:tc>
      </w:tr>
      <w:tr>
        <w:tc>
          <w:tcPr>
            <w:tcW w:type="dxa" w:w="2280"/>
          </w:tcPr>
          <w:p>
            <w:r/>
            <w:r>
              <w:rPr>
                <w:rFonts w:ascii="Calibri" w:hAnsi="Calibri"/>
                <w:color w:val="212529"/>
                <w:sz w:val="20"/>
              </w:rPr>
              <w:t>System uptime</w:t>
            </w:r>
          </w:p>
        </w:tc>
        <w:tc>
          <w:tcPr>
            <w:tcW w:type="dxa" w:w="2280"/>
          </w:tcPr>
          <w:p>
            <w:r/>
            <w:r>
              <w:rPr>
                <w:rFonts w:ascii="Calibri" w:hAnsi="Calibri"/>
                <w:color w:val="212529"/>
                <w:sz w:val="20"/>
              </w:rPr>
              <w:t>Percentage of time digital channels are available</w:t>
            </w:r>
          </w:p>
        </w:tc>
        <w:tc>
          <w:tcPr>
            <w:tcW w:type="dxa" w:w="2280"/>
          </w:tcPr>
          <w:p>
            <w:r/>
            <w:r>
              <w:rPr>
                <w:rFonts w:ascii="Calibri" w:hAnsi="Calibri"/>
                <w:color w:val="212529"/>
                <w:sz w:val="20"/>
              </w:rPr>
              <w:t>99.5%</w:t>
            </w:r>
          </w:p>
        </w:tc>
        <w:tc>
          <w:tcPr>
            <w:tcW w:type="dxa" w:w="2280"/>
          </w:tcPr>
          <w:p>
            <w:r/>
            <w:r>
              <w:rPr>
                <w:rFonts w:ascii="Calibri" w:hAnsi="Calibri"/>
                <w:color w:val="212529"/>
                <w:sz w:val="20"/>
              </w:rPr>
              <w:t>Ongoing</w:t>
            </w:r>
          </w:p>
        </w:tc>
      </w:tr>
    </w:tbl>
    <w:p/>
    <w:p>
      <w:pPr>
        <w:pStyle w:val="Heading1"/>
      </w:pPr>
      <w:r>
        <w:rPr>
          <w:rFonts w:ascii="Calibri" w:hAnsi="Calibri"/>
          <w:color w:val="005A9C"/>
          <w:sz w:val="32"/>
        </w:rPr>
        <w:t>3. Service Context and Stakeholder Analysis</w:t>
      </w:r>
    </w:p>
    <w:p>
      <w:pPr>
        <w:pStyle w:val="Heading2"/>
      </w:pPr>
      <w:r>
        <w:rPr>
          <w:rFonts w:ascii="Calibri" w:hAnsi="Calibri"/>
          <w:color w:val="212529"/>
          <w:sz w:val="28"/>
        </w:rPr>
        <w:t>3.1 Organizational Context</w:t>
      </w:r>
    </w:p>
    <w:p>
      <w:pPr>
        <w:spacing w:after="120" w:line="320" w:lineRule="exact"/>
        <w:jc w:val="both"/>
      </w:pPr>
      <w:r>
        <w:rPr>
          <w:rFonts w:ascii="Calibri" w:hAnsi="Calibri"/>
          <w:color w:val="212529"/>
          <w:sz w:val="22"/>
        </w:rPr>
        <w:t>The State Employment Agency is responsible for managing employment services across Azerbaijan. The agency operates through regional offices where citizens can access services in person. The LMAS project is part of the broader digital government transformation strategy led by the Innovation and Digital Development Agency.</w:t>
      </w:r>
    </w:p>
    <w:p>
      <w:pPr>
        <w:spacing w:after="120" w:line="320" w:lineRule="exact"/>
        <w:jc w:val="both"/>
      </w:pPr>
      <w:r>
        <w:rPr>
          <w:rFonts w:ascii="Calibri" w:hAnsi="Calibri"/>
          <w:color w:val="212529"/>
          <w:sz w:val="22"/>
        </w:rPr>
        <w:t>The service ecosystem includes multiple government organizations that contribute data and participate in the employment service process. These include the Ministry of Labour and Social Protection, the State Social Protection Fund, the Ministry of Education and local municipality offices. Coordinating across these organizations is a critical success factor for the LMAS project.</w:t>
      </w:r>
    </w:p>
    <w:p>
      <w:pPr>
        <w:pStyle w:val="Heading2"/>
      </w:pPr>
      <w:r>
        <w:rPr>
          <w:rFonts w:ascii="Calibri" w:hAnsi="Calibri"/>
          <w:color w:val="212529"/>
          <w:sz w:val="28"/>
        </w:rPr>
        <w:t>3.2 Stakeholder Map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Stakeholder</w:t>
            </w:r>
          </w:p>
        </w:tc>
        <w:tc>
          <w:tcPr>
            <w:tcW w:type="dxa" w:w="2280"/>
            <w:shd w:fill="005A9C" w:val="clear"/>
          </w:tcPr>
          <w:p>
            <w:r/>
            <w:r>
              <w:rPr>
                <w:rFonts w:ascii="Calibri" w:hAnsi="Calibri"/>
                <w:b/>
                <w:color w:val="FFFFFF"/>
                <w:sz w:val="20"/>
              </w:rPr>
              <w:t>Role</w:t>
            </w:r>
          </w:p>
        </w:tc>
        <w:tc>
          <w:tcPr>
            <w:tcW w:type="dxa" w:w="2280"/>
            <w:shd w:fill="005A9C" w:val="clear"/>
          </w:tcPr>
          <w:p>
            <w:r/>
            <w:r>
              <w:rPr>
                <w:rFonts w:ascii="Calibri" w:hAnsi="Calibri"/>
                <w:b/>
                <w:color w:val="FFFFFF"/>
                <w:sz w:val="20"/>
              </w:rPr>
              <w:t>Interaction</w:t>
            </w:r>
          </w:p>
        </w:tc>
        <w:tc>
          <w:tcPr>
            <w:tcW w:type="dxa" w:w="2280"/>
            <w:shd w:fill="005A9C" w:val="clear"/>
          </w:tcPr>
          <w:p>
            <w:r/>
            <w:r>
              <w:rPr>
                <w:rFonts w:ascii="Calibri" w:hAnsi="Calibri"/>
                <w:b/>
                <w:color w:val="FFFFFF"/>
                <w:sz w:val="20"/>
              </w:rPr>
              <w:t>Influence</w:t>
            </w:r>
          </w:p>
        </w:tc>
      </w:tr>
      <w:tr>
        <w:tc>
          <w:tcPr>
            <w:tcW w:type="dxa" w:w="2280"/>
          </w:tcPr>
          <w:p>
            <w:r/>
            <w:r>
              <w:rPr>
                <w:rFonts w:ascii="Calibri" w:hAnsi="Calibri"/>
                <w:color w:val="212529"/>
                <w:sz w:val="20"/>
              </w:rPr>
              <w:t>Citizens (Job seekers)</w:t>
            </w:r>
          </w:p>
        </w:tc>
        <w:tc>
          <w:tcPr>
            <w:tcW w:type="dxa" w:w="2280"/>
          </w:tcPr>
          <w:p>
            <w:r/>
            <w:r>
              <w:rPr>
                <w:rFonts w:ascii="Calibri" w:hAnsi="Calibri"/>
                <w:color w:val="212529"/>
                <w:sz w:val="20"/>
              </w:rPr>
              <w:t>Primary user</w:t>
            </w:r>
          </w:p>
        </w:tc>
        <w:tc>
          <w:tcPr>
            <w:tcW w:type="dxa" w:w="2280"/>
          </w:tcPr>
          <w:p>
            <w:r/>
            <w:r>
              <w:rPr>
                <w:rFonts w:ascii="Calibri" w:hAnsi="Calibri"/>
                <w:color w:val="212529"/>
                <w:sz w:val="20"/>
              </w:rPr>
              <w:t>Submit applications, track status, receive results</w:t>
            </w:r>
          </w:p>
        </w:tc>
        <w:tc>
          <w:tcPr>
            <w:tcW w:type="dxa" w:w="2280"/>
          </w:tcPr>
          <w:p>
            <w:r/>
            <w:r>
              <w:rPr>
                <w:rFonts w:ascii="Calibri" w:hAnsi="Calibri"/>
                <w:color w:val="212529"/>
                <w:sz w:val="20"/>
              </w:rPr>
              <w:t>High</w:t>
            </w:r>
          </w:p>
        </w:tc>
      </w:tr>
      <w:tr>
        <w:tc>
          <w:tcPr>
            <w:tcW w:type="dxa" w:w="2280"/>
          </w:tcPr>
          <w:p>
            <w:r/>
            <w:r>
              <w:rPr>
                <w:rFonts w:ascii="Calibri" w:hAnsi="Calibri"/>
                <w:color w:val="212529"/>
                <w:sz w:val="20"/>
              </w:rPr>
              <w:t>Employers</w:t>
            </w:r>
          </w:p>
        </w:tc>
        <w:tc>
          <w:tcPr>
            <w:tcW w:type="dxa" w:w="2280"/>
          </w:tcPr>
          <w:p>
            <w:r/>
            <w:r>
              <w:rPr>
                <w:rFonts w:ascii="Calibri" w:hAnsi="Calibri"/>
                <w:color w:val="212529"/>
                <w:sz w:val="20"/>
              </w:rPr>
              <w:t>Secondary user</w:t>
            </w:r>
          </w:p>
        </w:tc>
        <w:tc>
          <w:tcPr>
            <w:tcW w:type="dxa" w:w="2280"/>
          </w:tcPr>
          <w:p>
            <w:r/>
            <w:r>
              <w:rPr>
                <w:rFonts w:ascii="Calibri" w:hAnsi="Calibri"/>
                <w:color w:val="212529"/>
                <w:sz w:val="20"/>
              </w:rPr>
              <w:t>Post vacancies, review candidate profiles</w:t>
            </w:r>
          </w:p>
        </w:tc>
        <w:tc>
          <w:tcPr>
            <w:tcW w:type="dxa" w:w="2280"/>
          </w:tcPr>
          <w:p>
            <w:r/>
            <w:r>
              <w:rPr>
                <w:rFonts w:ascii="Calibri" w:hAnsi="Calibri"/>
                <w:color w:val="212529"/>
                <w:sz w:val="20"/>
              </w:rPr>
              <w:t>Medium</w:t>
            </w:r>
          </w:p>
        </w:tc>
      </w:tr>
      <w:tr>
        <w:tc>
          <w:tcPr>
            <w:tcW w:type="dxa" w:w="2280"/>
          </w:tcPr>
          <w:p>
            <w:r/>
            <w:r>
              <w:rPr>
                <w:rFonts w:ascii="Calibri" w:hAnsi="Calibri"/>
                <w:color w:val="212529"/>
                <w:sz w:val="20"/>
              </w:rPr>
              <w:t>State Employment Agency</w:t>
            </w:r>
          </w:p>
        </w:tc>
        <w:tc>
          <w:tcPr>
            <w:tcW w:type="dxa" w:w="2280"/>
          </w:tcPr>
          <w:p>
            <w:r/>
            <w:r>
              <w:rPr>
                <w:rFonts w:ascii="Calibri" w:hAnsi="Calibri"/>
                <w:color w:val="212529"/>
                <w:sz w:val="20"/>
              </w:rPr>
              <w:t>Service owner</w:t>
            </w:r>
          </w:p>
        </w:tc>
        <w:tc>
          <w:tcPr>
            <w:tcW w:type="dxa" w:w="2280"/>
          </w:tcPr>
          <w:p>
            <w:r/>
            <w:r>
              <w:rPr>
                <w:rFonts w:ascii="Calibri" w:hAnsi="Calibri"/>
                <w:color w:val="212529"/>
                <w:sz w:val="20"/>
              </w:rPr>
              <w:t>Process applications, manage service delivery</w:t>
            </w:r>
          </w:p>
        </w:tc>
        <w:tc>
          <w:tcPr>
            <w:tcW w:type="dxa" w:w="2280"/>
          </w:tcPr>
          <w:p>
            <w:r/>
            <w:r>
              <w:rPr>
                <w:rFonts w:ascii="Calibri" w:hAnsi="Calibri"/>
                <w:color w:val="212529"/>
                <w:sz w:val="20"/>
              </w:rPr>
              <w:t>High</w:t>
            </w:r>
          </w:p>
        </w:tc>
      </w:tr>
      <w:tr>
        <w:tc>
          <w:tcPr>
            <w:tcW w:type="dxa" w:w="2280"/>
          </w:tcPr>
          <w:p>
            <w:r/>
            <w:r>
              <w:rPr>
                <w:rFonts w:ascii="Calibri" w:hAnsi="Calibri"/>
                <w:color w:val="212529"/>
                <w:sz w:val="20"/>
              </w:rPr>
              <w:t>Ministry of Labour</w:t>
            </w:r>
          </w:p>
        </w:tc>
        <w:tc>
          <w:tcPr>
            <w:tcW w:type="dxa" w:w="2280"/>
          </w:tcPr>
          <w:p>
            <w:r/>
            <w:r>
              <w:rPr>
                <w:rFonts w:ascii="Calibri" w:hAnsi="Calibri"/>
                <w:color w:val="212529"/>
                <w:sz w:val="20"/>
              </w:rPr>
              <w:t>Policy body</w:t>
            </w:r>
          </w:p>
        </w:tc>
        <w:tc>
          <w:tcPr>
            <w:tcW w:type="dxa" w:w="2280"/>
          </w:tcPr>
          <w:p>
            <w:r/>
            <w:r>
              <w:rPr>
                <w:rFonts w:ascii="Calibri" w:hAnsi="Calibri"/>
                <w:color w:val="212529"/>
                <w:sz w:val="20"/>
              </w:rPr>
              <w:t>Set employment policies, regulatory oversight</w:t>
            </w:r>
          </w:p>
        </w:tc>
        <w:tc>
          <w:tcPr>
            <w:tcW w:type="dxa" w:w="2280"/>
          </w:tcPr>
          <w:p>
            <w:r/>
            <w:r>
              <w:rPr>
                <w:rFonts w:ascii="Calibri" w:hAnsi="Calibri"/>
                <w:color w:val="212529"/>
                <w:sz w:val="20"/>
              </w:rPr>
              <w:t>High</w:t>
            </w:r>
          </w:p>
        </w:tc>
      </w:tr>
      <w:tr>
        <w:tc>
          <w:tcPr>
            <w:tcW w:type="dxa" w:w="2280"/>
          </w:tcPr>
          <w:p>
            <w:r/>
            <w:r>
              <w:rPr>
                <w:rFonts w:ascii="Calibri" w:hAnsi="Calibri"/>
                <w:color w:val="212529"/>
                <w:sz w:val="20"/>
              </w:rPr>
              <w:t>Social Protection Fund</w:t>
            </w:r>
          </w:p>
        </w:tc>
        <w:tc>
          <w:tcPr>
            <w:tcW w:type="dxa" w:w="2280"/>
          </w:tcPr>
          <w:p>
            <w:r/>
            <w:r>
              <w:rPr>
                <w:rFonts w:ascii="Calibri" w:hAnsi="Calibri"/>
                <w:color w:val="212529"/>
                <w:sz w:val="20"/>
              </w:rPr>
              <w:t>Data provider</w:t>
            </w:r>
          </w:p>
        </w:tc>
        <w:tc>
          <w:tcPr>
            <w:tcW w:type="dxa" w:w="2280"/>
          </w:tcPr>
          <w:p>
            <w:r/>
            <w:r>
              <w:rPr>
                <w:rFonts w:ascii="Calibri" w:hAnsi="Calibri"/>
                <w:color w:val="212529"/>
                <w:sz w:val="20"/>
              </w:rPr>
              <w:t>Provide social insurance and benefit data</w:t>
            </w:r>
          </w:p>
        </w:tc>
        <w:tc>
          <w:tcPr>
            <w:tcW w:type="dxa" w:w="2280"/>
          </w:tcPr>
          <w:p>
            <w:r/>
            <w:r>
              <w:rPr>
                <w:rFonts w:ascii="Calibri" w:hAnsi="Calibri"/>
                <w:color w:val="212529"/>
                <w:sz w:val="20"/>
              </w:rPr>
              <w:t>Medium</w:t>
            </w:r>
          </w:p>
        </w:tc>
      </w:tr>
      <w:tr>
        <w:tc>
          <w:tcPr>
            <w:tcW w:type="dxa" w:w="2280"/>
          </w:tcPr>
          <w:p>
            <w:r/>
            <w:r>
              <w:rPr>
                <w:rFonts w:ascii="Calibri" w:hAnsi="Calibri"/>
                <w:color w:val="212529"/>
                <w:sz w:val="20"/>
              </w:rPr>
              <w:t>Innovation Agency</w:t>
            </w:r>
          </w:p>
        </w:tc>
        <w:tc>
          <w:tcPr>
            <w:tcW w:type="dxa" w:w="2280"/>
          </w:tcPr>
          <w:p>
            <w:r/>
            <w:r>
              <w:rPr>
                <w:rFonts w:ascii="Calibri" w:hAnsi="Calibri"/>
                <w:color w:val="212529"/>
                <w:sz w:val="20"/>
              </w:rPr>
              <w:t>Strategic partner</w:t>
            </w:r>
          </w:p>
        </w:tc>
        <w:tc>
          <w:tcPr>
            <w:tcW w:type="dxa" w:w="2280"/>
          </w:tcPr>
          <w:p>
            <w:r/>
            <w:r>
              <w:rPr>
                <w:rFonts w:ascii="Calibri" w:hAnsi="Calibri"/>
                <w:color w:val="212529"/>
                <w:sz w:val="20"/>
              </w:rPr>
              <w:t>Digital transformation methodology, standards</w:t>
            </w:r>
          </w:p>
        </w:tc>
        <w:tc>
          <w:tcPr>
            <w:tcW w:type="dxa" w:w="2280"/>
          </w:tcPr>
          <w:p>
            <w:r/>
            <w:r>
              <w:rPr>
                <w:rFonts w:ascii="Calibri" w:hAnsi="Calibri"/>
                <w:color w:val="212529"/>
                <w:sz w:val="20"/>
              </w:rPr>
              <w:t>Medium</w:t>
            </w:r>
          </w:p>
        </w:tc>
      </w:tr>
      <w:tr>
        <w:tc>
          <w:tcPr>
            <w:tcW w:type="dxa" w:w="2280"/>
          </w:tcPr>
          <w:p>
            <w:r/>
            <w:r>
              <w:rPr>
                <w:rFonts w:ascii="Calibri" w:hAnsi="Calibri"/>
                <w:color w:val="212529"/>
                <w:sz w:val="20"/>
              </w:rPr>
              <w:t>IT Department</w:t>
            </w:r>
          </w:p>
        </w:tc>
        <w:tc>
          <w:tcPr>
            <w:tcW w:type="dxa" w:w="2280"/>
          </w:tcPr>
          <w:p>
            <w:r/>
            <w:r>
              <w:rPr>
                <w:rFonts w:ascii="Calibri" w:hAnsi="Calibri"/>
                <w:color w:val="212529"/>
                <w:sz w:val="20"/>
              </w:rPr>
              <w:t>Technical team</w:t>
            </w:r>
          </w:p>
        </w:tc>
        <w:tc>
          <w:tcPr>
            <w:tcW w:type="dxa" w:w="2280"/>
          </w:tcPr>
          <w:p>
            <w:r/>
            <w:r>
              <w:rPr>
                <w:rFonts w:ascii="Calibri" w:hAnsi="Calibri"/>
                <w:color w:val="212529"/>
                <w:sz w:val="20"/>
              </w:rPr>
              <w:t>System development, infrastructure, maintenance</w:t>
            </w:r>
          </w:p>
        </w:tc>
        <w:tc>
          <w:tcPr>
            <w:tcW w:type="dxa" w:w="2280"/>
          </w:tcPr>
          <w:p>
            <w:r/>
            <w:r>
              <w:rPr>
                <w:rFonts w:ascii="Calibri" w:hAnsi="Calibri"/>
                <w:color w:val="212529"/>
                <w:sz w:val="20"/>
              </w:rPr>
              <w:t>High</w:t>
            </w:r>
          </w:p>
        </w:tc>
      </w:tr>
      <w:tr>
        <w:tc>
          <w:tcPr>
            <w:tcW w:type="dxa" w:w="2280"/>
          </w:tcPr>
          <w:p>
            <w:r/>
            <w:r>
              <w:rPr>
                <w:rFonts w:ascii="Calibri" w:hAnsi="Calibri"/>
                <w:color w:val="212529"/>
                <w:sz w:val="20"/>
              </w:rPr>
              <w:t>Regional Offices</w:t>
            </w:r>
          </w:p>
        </w:tc>
        <w:tc>
          <w:tcPr>
            <w:tcW w:type="dxa" w:w="2280"/>
          </w:tcPr>
          <w:p>
            <w:r/>
            <w:r>
              <w:rPr>
                <w:rFonts w:ascii="Calibri" w:hAnsi="Calibri"/>
                <w:color w:val="212529"/>
                <w:sz w:val="20"/>
              </w:rPr>
              <w:t>Service delivery</w:t>
            </w:r>
          </w:p>
        </w:tc>
        <w:tc>
          <w:tcPr>
            <w:tcW w:type="dxa" w:w="2280"/>
          </w:tcPr>
          <w:p>
            <w:r/>
            <w:r>
              <w:rPr>
                <w:rFonts w:ascii="Calibri" w:hAnsi="Calibri"/>
                <w:color w:val="212529"/>
                <w:sz w:val="20"/>
              </w:rPr>
              <w:t>Handle cases requiring physical presence</w:t>
            </w:r>
          </w:p>
        </w:tc>
        <w:tc>
          <w:tcPr>
            <w:tcW w:type="dxa" w:w="2280"/>
          </w:tcPr>
          <w:p>
            <w:r/>
            <w:r>
              <w:rPr>
                <w:rFonts w:ascii="Calibri" w:hAnsi="Calibri"/>
                <w:color w:val="212529"/>
                <w:sz w:val="20"/>
              </w:rPr>
              <w:t>Medium</w:t>
            </w:r>
          </w:p>
        </w:tc>
      </w:tr>
    </w:tbl>
    <w:p/>
    <w:p>
      <w:pPr>
        <w:pStyle w:val="Heading2"/>
      </w:pPr>
      <w:r>
        <w:rPr>
          <w:rFonts w:ascii="Calibri" w:hAnsi="Calibri"/>
          <w:color w:val="212529"/>
          <w:sz w:val="28"/>
        </w:rPr>
        <w:t>3.3 Stakeholder Communication Plan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Stakeholder</w:t>
            </w:r>
          </w:p>
        </w:tc>
        <w:tc>
          <w:tcPr>
            <w:tcW w:type="dxa" w:w="3041"/>
            <w:shd w:fill="005A9C" w:val="clear"/>
          </w:tcPr>
          <w:p>
            <w:r/>
            <w:r>
              <w:rPr>
                <w:rFonts w:ascii="Calibri" w:hAnsi="Calibri"/>
                <w:b/>
                <w:color w:val="FFFFFF"/>
                <w:sz w:val="20"/>
              </w:rPr>
              <w:t>Frequency</w:t>
            </w:r>
          </w:p>
        </w:tc>
        <w:tc>
          <w:tcPr>
            <w:tcW w:type="dxa" w:w="3041"/>
            <w:shd w:fill="005A9C" w:val="clear"/>
          </w:tcPr>
          <w:p>
            <w:r/>
            <w:r>
              <w:rPr>
                <w:rFonts w:ascii="Calibri" w:hAnsi="Calibri"/>
                <w:b/>
                <w:color w:val="FFFFFF"/>
                <w:sz w:val="20"/>
              </w:rPr>
              <w:t>Topics</w:t>
            </w:r>
          </w:p>
        </w:tc>
      </w:tr>
      <w:tr>
        <w:tc>
          <w:tcPr>
            <w:tcW w:type="dxa" w:w="3041"/>
          </w:tcPr>
          <w:p>
            <w:r/>
            <w:r>
              <w:rPr>
                <w:rFonts w:ascii="Calibri" w:hAnsi="Calibri"/>
                <w:color w:val="212529"/>
                <w:sz w:val="20"/>
              </w:rPr>
              <w:t>State Employment Agency management</w:t>
            </w:r>
          </w:p>
        </w:tc>
        <w:tc>
          <w:tcPr>
            <w:tcW w:type="dxa" w:w="3041"/>
          </w:tcPr>
          <w:p>
            <w:r/>
            <w:r>
              <w:rPr>
                <w:rFonts w:ascii="Calibri" w:hAnsi="Calibri"/>
                <w:color w:val="212529"/>
                <w:sz w:val="20"/>
              </w:rPr>
              <w:t>Bi-weekly steering committee</w:t>
            </w:r>
          </w:p>
        </w:tc>
        <w:tc>
          <w:tcPr>
            <w:tcW w:type="dxa" w:w="3041"/>
          </w:tcPr>
          <w:p>
            <w:r/>
            <w:r>
              <w:rPr>
                <w:rFonts w:ascii="Calibri" w:hAnsi="Calibri"/>
                <w:color w:val="212529"/>
                <w:sz w:val="20"/>
              </w:rPr>
              <w:t>Project status, risks, decisions</w:t>
            </w:r>
          </w:p>
        </w:tc>
      </w:tr>
      <w:tr>
        <w:tc>
          <w:tcPr>
            <w:tcW w:type="dxa" w:w="3041"/>
          </w:tcPr>
          <w:p>
            <w:r/>
            <w:r>
              <w:rPr>
                <w:rFonts w:ascii="Calibri" w:hAnsi="Calibri"/>
                <w:color w:val="212529"/>
                <w:sz w:val="20"/>
              </w:rPr>
              <w:t>Ministry of Labour</w:t>
            </w:r>
          </w:p>
        </w:tc>
        <w:tc>
          <w:tcPr>
            <w:tcW w:type="dxa" w:w="3041"/>
          </w:tcPr>
          <w:p>
            <w:r/>
            <w:r>
              <w:rPr>
                <w:rFonts w:ascii="Calibri" w:hAnsi="Calibri"/>
                <w:color w:val="212529"/>
                <w:sz w:val="20"/>
              </w:rPr>
              <w:t>Monthly alignment meeting</w:t>
            </w:r>
          </w:p>
        </w:tc>
        <w:tc>
          <w:tcPr>
            <w:tcW w:type="dxa" w:w="3041"/>
          </w:tcPr>
          <w:p>
            <w:r/>
            <w:r>
              <w:rPr>
                <w:rFonts w:ascii="Calibri" w:hAnsi="Calibri"/>
                <w:color w:val="212529"/>
                <w:sz w:val="20"/>
              </w:rPr>
              <w:t>Policy updates, regulatory changes</w:t>
            </w:r>
          </w:p>
        </w:tc>
      </w:tr>
      <w:tr>
        <w:tc>
          <w:tcPr>
            <w:tcW w:type="dxa" w:w="3041"/>
          </w:tcPr>
          <w:p>
            <w:r/>
            <w:r>
              <w:rPr>
                <w:rFonts w:ascii="Calibri" w:hAnsi="Calibri"/>
                <w:color w:val="212529"/>
                <w:sz w:val="20"/>
              </w:rPr>
              <w:t>Innovation Agency</w:t>
            </w:r>
          </w:p>
        </w:tc>
        <w:tc>
          <w:tcPr>
            <w:tcW w:type="dxa" w:w="3041"/>
          </w:tcPr>
          <w:p>
            <w:r/>
            <w:r>
              <w:rPr>
                <w:rFonts w:ascii="Calibri" w:hAnsi="Calibri"/>
                <w:color w:val="212529"/>
                <w:sz w:val="20"/>
              </w:rPr>
              <w:t>Monthly progress review</w:t>
            </w:r>
          </w:p>
        </w:tc>
        <w:tc>
          <w:tcPr>
            <w:tcW w:type="dxa" w:w="3041"/>
          </w:tcPr>
          <w:p>
            <w:r/>
            <w:r>
              <w:rPr>
                <w:rFonts w:ascii="Calibri" w:hAnsi="Calibri"/>
                <w:color w:val="212529"/>
                <w:sz w:val="20"/>
              </w:rPr>
              <w:t>Methodology alignment, standards compliance</w:t>
            </w:r>
          </w:p>
        </w:tc>
      </w:tr>
      <w:tr>
        <w:tc>
          <w:tcPr>
            <w:tcW w:type="dxa" w:w="3041"/>
          </w:tcPr>
          <w:p>
            <w:r/>
            <w:r>
              <w:rPr>
                <w:rFonts w:ascii="Calibri" w:hAnsi="Calibri"/>
                <w:color w:val="212529"/>
                <w:sz w:val="20"/>
              </w:rPr>
              <w:t>IT Department</w:t>
            </w:r>
          </w:p>
        </w:tc>
        <w:tc>
          <w:tcPr>
            <w:tcW w:type="dxa" w:w="3041"/>
          </w:tcPr>
          <w:p>
            <w:r/>
            <w:r>
              <w:rPr>
                <w:rFonts w:ascii="Calibri" w:hAnsi="Calibri"/>
                <w:color w:val="212529"/>
                <w:sz w:val="20"/>
              </w:rPr>
              <w:t>Weekly sprint review</w:t>
            </w:r>
          </w:p>
        </w:tc>
        <w:tc>
          <w:tcPr>
            <w:tcW w:type="dxa" w:w="3041"/>
          </w:tcPr>
          <w:p>
            <w:r/>
            <w:r>
              <w:rPr>
                <w:rFonts w:ascii="Calibri" w:hAnsi="Calibri"/>
                <w:color w:val="212529"/>
                <w:sz w:val="20"/>
              </w:rPr>
              <w:t>Technical progress, blockers</w:t>
            </w:r>
          </w:p>
        </w:tc>
      </w:tr>
      <w:tr>
        <w:tc>
          <w:tcPr>
            <w:tcW w:type="dxa" w:w="3041"/>
          </w:tcPr>
          <w:p>
            <w:r/>
            <w:r>
              <w:rPr>
                <w:rFonts w:ascii="Calibri" w:hAnsi="Calibri"/>
                <w:color w:val="212529"/>
                <w:sz w:val="20"/>
              </w:rPr>
              <w:t>Regional Offices</w:t>
            </w:r>
          </w:p>
        </w:tc>
        <w:tc>
          <w:tcPr>
            <w:tcW w:type="dxa" w:w="3041"/>
          </w:tcPr>
          <w:p>
            <w:r/>
            <w:r>
              <w:rPr>
                <w:rFonts w:ascii="Calibri" w:hAnsi="Calibri"/>
                <w:color w:val="212529"/>
                <w:sz w:val="20"/>
              </w:rPr>
              <w:t>Monthly feedback session</w:t>
            </w:r>
          </w:p>
        </w:tc>
        <w:tc>
          <w:tcPr>
            <w:tcW w:type="dxa" w:w="3041"/>
          </w:tcPr>
          <w:p>
            <w:r/>
            <w:r>
              <w:rPr>
                <w:rFonts w:ascii="Calibri" w:hAnsi="Calibri"/>
                <w:color w:val="212529"/>
                <w:sz w:val="20"/>
              </w:rPr>
              <w:t>User feedback, process improvement</w:t>
            </w:r>
          </w:p>
        </w:tc>
      </w:tr>
    </w:tbl>
    <w:p/>
    <w:p>
      <w:pPr>
        <w:pStyle w:val="Heading1"/>
      </w:pPr>
      <w:r>
        <w:rPr>
          <w:rFonts w:ascii="Calibri" w:hAnsi="Calibri"/>
          <w:color w:val="005A9C"/>
          <w:sz w:val="32"/>
        </w:rPr>
        <w:t>4. User Research and Personas</w:t>
      </w:r>
    </w:p>
    <w:p>
      <w:pPr>
        <w:pStyle w:val="Heading2"/>
      </w:pPr>
      <w:r>
        <w:rPr>
          <w:rFonts w:ascii="Calibri" w:hAnsi="Calibri"/>
          <w:color w:val="212529"/>
          <w:sz w:val="28"/>
        </w:rPr>
        <w:t>4.1 Research Approach</w:t>
      </w:r>
    </w:p>
    <w:p>
      <w:pPr>
        <w:spacing w:after="120" w:line="320" w:lineRule="exact"/>
        <w:jc w:val="both"/>
      </w:pPr>
      <w:r>
        <w:rPr>
          <w:rFonts w:ascii="Calibri" w:hAnsi="Calibri"/>
          <w:color w:val="212529"/>
          <w:sz w:val="22"/>
        </w:rPr>
        <w:t>User research was conducted through stakeholder interviews with 12 employees of the State Employment Agency and analysis of 200+ citizen feedback records from the existing service delivery process. The research identified key pain points, user needs and behavioral patterns that directly influenced the service design decisions.</w:t>
      </w:r>
    </w:p>
    <w:p>
      <w:pPr>
        <w:pStyle w:val="Heading2"/>
      </w:pPr>
      <w:r>
        <w:rPr>
          <w:rFonts w:ascii="Calibri" w:hAnsi="Calibri"/>
          <w:color w:val="212529"/>
          <w:sz w:val="28"/>
        </w:rPr>
        <w:t>4.2 Key Research Findings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Finding</w:t>
            </w:r>
          </w:p>
        </w:tc>
        <w:tc>
          <w:tcPr>
            <w:tcW w:type="dxa" w:w="4561"/>
            <w:shd w:fill="005A9C" w:val="clear"/>
          </w:tcPr>
          <w:p>
            <w:r/>
            <w:r>
              <w:rPr>
                <w:rFonts w:ascii="Calibri" w:hAnsi="Calibri"/>
                <w:b/>
                <w:color w:val="FFFFFF"/>
                <w:sz w:val="20"/>
              </w:rPr>
              <w:t>Detail</w:t>
            </w:r>
          </w:p>
        </w:tc>
      </w:tr>
      <w:tr>
        <w:tc>
          <w:tcPr>
            <w:tcW w:type="dxa" w:w="4561"/>
          </w:tcPr>
          <w:p>
            <w:r/>
            <w:r>
              <w:rPr>
                <w:rFonts w:ascii="Calibri" w:hAnsi="Calibri"/>
                <w:color w:val="212529"/>
                <w:sz w:val="20"/>
              </w:rPr>
              <w:t>Accessibility barrier</w:t>
            </w:r>
          </w:p>
        </w:tc>
        <w:tc>
          <w:tcPr>
            <w:tcW w:type="dxa" w:w="4561"/>
          </w:tcPr>
          <w:p>
            <w:r/>
            <w:r>
              <w:rPr>
                <w:rFonts w:ascii="Calibri" w:hAnsi="Calibri"/>
                <w:color w:val="212529"/>
                <w:sz w:val="20"/>
              </w:rPr>
              <w:t>65% of citizens outside Baku find it difficult to visit regional offices due to distance and travel costs</w:t>
            </w:r>
          </w:p>
        </w:tc>
      </w:tr>
      <w:tr>
        <w:tc>
          <w:tcPr>
            <w:tcW w:type="dxa" w:w="4561"/>
          </w:tcPr>
          <w:p>
            <w:r/>
            <w:r>
              <w:rPr>
                <w:rFonts w:ascii="Calibri" w:hAnsi="Calibri"/>
                <w:color w:val="212529"/>
                <w:sz w:val="20"/>
              </w:rPr>
              <w:t>Lack of transparency</w:t>
            </w:r>
          </w:p>
        </w:tc>
        <w:tc>
          <w:tcPr>
            <w:tcW w:type="dxa" w:w="4561"/>
          </w:tcPr>
          <w:p>
            <w:r/>
            <w:r>
              <w:rPr>
                <w:rFonts w:ascii="Calibri" w:hAnsi="Calibri"/>
                <w:color w:val="212529"/>
                <w:sz w:val="20"/>
              </w:rPr>
              <w:t>78% of applicants do not know the status of their application after submission</w:t>
            </w:r>
          </w:p>
        </w:tc>
      </w:tr>
      <w:tr>
        <w:tc>
          <w:tcPr>
            <w:tcW w:type="dxa" w:w="4561"/>
          </w:tcPr>
          <w:p>
            <w:r/>
            <w:r>
              <w:rPr>
                <w:rFonts w:ascii="Calibri" w:hAnsi="Calibri"/>
                <w:color w:val="212529"/>
                <w:sz w:val="20"/>
              </w:rPr>
              <w:t>Document complexity</w:t>
            </w:r>
          </w:p>
        </w:tc>
        <w:tc>
          <w:tcPr>
            <w:tcW w:type="dxa" w:w="4561"/>
          </w:tcPr>
          <w:p>
            <w:r/>
            <w:r>
              <w:rPr>
                <w:rFonts w:ascii="Calibri" w:hAnsi="Calibri"/>
                <w:color w:val="212529"/>
                <w:sz w:val="20"/>
              </w:rPr>
              <w:t>52% of applications are rejected due to incomplete or incorrect documentation</w:t>
            </w:r>
          </w:p>
        </w:tc>
      </w:tr>
      <w:tr>
        <w:tc>
          <w:tcPr>
            <w:tcW w:type="dxa" w:w="4561"/>
          </w:tcPr>
          <w:p>
            <w:r/>
            <w:r>
              <w:rPr>
                <w:rFonts w:ascii="Calibri" w:hAnsi="Calibri"/>
                <w:color w:val="212529"/>
                <w:sz w:val="20"/>
              </w:rPr>
              <w:t>Processing delays</w:t>
            </w:r>
          </w:p>
        </w:tc>
        <w:tc>
          <w:tcPr>
            <w:tcW w:type="dxa" w:w="4561"/>
          </w:tcPr>
          <w:p>
            <w:r/>
            <w:r>
              <w:rPr>
                <w:rFonts w:ascii="Calibri" w:hAnsi="Calibri"/>
                <w:color w:val="212529"/>
                <w:sz w:val="20"/>
              </w:rPr>
              <w:t>Average processing time is 14 calendar days, with some cases taking over 30 days</w:t>
            </w:r>
          </w:p>
        </w:tc>
      </w:tr>
      <w:tr>
        <w:tc>
          <w:tcPr>
            <w:tcW w:type="dxa" w:w="4561"/>
          </w:tcPr>
          <w:p>
            <w:r/>
            <w:r>
              <w:rPr>
                <w:rFonts w:ascii="Calibri" w:hAnsi="Calibri"/>
                <w:color w:val="212529"/>
                <w:sz w:val="20"/>
              </w:rPr>
              <w:t>Limited channels</w:t>
            </w:r>
          </w:p>
        </w:tc>
        <w:tc>
          <w:tcPr>
            <w:tcW w:type="dxa" w:w="4561"/>
          </w:tcPr>
          <w:p>
            <w:r/>
            <w:r>
              <w:rPr>
                <w:rFonts w:ascii="Calibri" w:hAnsi="Calibri"/>
                <w:color w:val="212529"/>
                <w:sz w:val="20"/>
              </w:rPr>
              <w:t>Currently only in-person service delivery is available, no digital alternatives</w:t>
            </w:r>
          </w:p>
        </w:tc>
      </w:tr>
      <w:tr>
        <w:tc>
          <w:tcPr>
            <w:tcW w:type="dxa" w:w="4561"/>
          </w:tcPr>
          <w:p>
            <w:r/>
            <w:r>
              <w:rPr>
                <w:rFonts w:ascii="Calibri" w:hAnsi="Calibri"/>
                <w:color w:val="212529"/>
                <w:sz w:val="20"/>
              </w:rPr>
              <w:t>Repeat visits</w:t>
            </w:r>
          </w:p>
        </w:tc>
        <w:tc>
          <w:tcPr>
            <w:tcW w:type="dxa" w:w="4561"/>
          </w:tcPr>
          <w:p>
            <w:r/>
            <w:r>
              <w:rPr>
                <w:rFonts w:ascii="Calibri" w:hAnsi="Calibri"/>
                <w:color w:val="212529"/>
                <w:sz w:val="20"/>
              </w:rPr>
              <w:t>40% of citizens visit the office more than once for a single service request</w:t>
            </w:r>
          </w:p>
        </w:tc>
      </w:tr>
    </w:tbl>
    <w:p/>
    <w:p>
      <w:pPr>
        <w:pStyle w:val="Heading2"/>
      </w:pPr>
      <w:r>
        <w:rPr>
          <w:rFonts w:ascii="Calibri" w:hAnsi="Calibri"/>
          <w:color w:val="212529"/>
          <w:sz w:val="28"/>
        </w:rPr>
        <w:t>4.3 Citizen Personas</w:t>
      </w:r>
    </w:p>
    <w:p>
      <w:pPr>
        <w:pStyle w:val="Heading3"/>
      </w:pPr>
      <w:r>
        <w:rPr>
          <w:rFonts w:ascii="Calibri" w:hAnsi="Calibri"/>
          <w:color w:val="212529"/>
          <w:sz w:val="24"/>
        </w:rPr>
        <w:t>Persona 1: Young Job Seeker</w:t>
      </w:r>
    </w:p>
    <w:p>
      <w:pPr>
        <w:spacing w:after="120" w:line="320" w:lineRule="exact"/>
        <w:jc w:val="both"/>
      </w:pPr>
      <w:r>
        <w:rPr>
          <w:rFonts w:ascii="Calibri" w:hAnsi="Calibri"/>
          <w:color w:val="212529"/>
          <w:sz w:val="22"/>
        </w:rPr>
        <w:t>Age: 22-28, recently graduated from university, lives in a regional city. Comfortable with technology, uses smartphone daily, prefers digital channels over physical visits. Needs to register as unemployed and access job search services. Expects fast processing and real-time status updates. Pain point: traveling to the nearest regional office takes a full day and costs significant money.</w:t>
      </w:r>
    </w:p>
    <w:p>
      <w:pPr>
        <w:pStyle w:val="Heading3"/>
      </w:pPr>
      <w:r>
        <w:rPr>
          <w:rFonts w:ascii="Calibri" w:hAnsi="Calibri"/>
          <w:color w:val="212529"/>
          <w:sz w:val="24"/>
        </w:rPr>
        <w:t>Persona 2: Mid-Career Worker</w:t>
      </w:r>
    </w:p>
    <w:p>
      <w:pPr>
        <w:spacing w:after="120" w:line="320" w:lineRule="exact"/>
        <w:jc w:val="both"/>
      </w:pPr>
      <w:r>
        <w:rPr>
          <w:rFonts w:ascii="Calibri" w:hAnsi="Calibri"/>
          <w:color w:val="212529"/>
          <w:sz w:val="22"/>
        </w:rPr>
        <w:t>Age: 35-45, recently lost their job, has family responsibilities. Moderate technology skills, uses smartphone but may need guidance. Needs unemployment benefits and retraining program information. Expects clear communication about eligibility and next steps. Pain point: does not understand which documents are required and often submits incomplete applications.</w:t>
      </w:r>
    </w:p>
    <w:p>
      <w:pPr>
        <w:pStyle w:val="Heading3"/>
      </w:pPr>
      <w:r>
        <w:rPr>
          <w:rFonts w:ascii="Calibri" w:hAnsi="Calibri"/>
          <w:color w:val="212529"/>
          <w:sz w:val="24"/>
        </w:rPr>
        <w:t>Persona 3: Employer</w:t>
      </w:r>
    </w:p>
    <w:p>
      <w:pPr>
        <w:spacing w:after="120" w:line="320" w:lineRule="exact"/>
        <w:jc w:val="both"/>
      </w:pPr>
      <w:r>
        <w:rPr>
          <w:rFonts w:ascii="Calibri" w:hAnsi="Calibri"/>
          <w:color w:val="212529"/>
          <w:sz w:val="22"/>
        </w:rPr>
        <w:t>Small or medium business owner, needs to post job vacancies and find suitable candidates. Prefers online platforms, expects quick response from the employment agency. Pain point: current process requires in-person visits to submit vacancy information, which is time-consuming for a busy business owner.</w:t>
      </w:r>
    </w:p>
    <w:p/>
    <w:p>
      <w:pPr>
        <w:pStyle w:val="Heading1"/>
      </w:pPr>
      <w:r>
        <w:rPr>
          <w:rFonts w:ascii="Calibri" w:hAnsi="Calibri"/>
          <w:color w:val="005A9C"/>
          <w:sz w:val="32"/>
        </w:rPr>
        <w:t>5. As-Is Service Journey Analysis</w:t>
      </w:r>
    </w:p>
    <w:p>
      <w:pPr>
        <w:pStyle w:val="Heading2"/>
      </w:pPr>
      <w:r>
        <w:rPr>
          <w:rFonts w:ascii="Calibri" w:hAnsi="Calibri"/>
          <w:color w:val="212529"/>
          <w:sz w:val="28"/>
        </w:rPr>
        <w:t>5.1 Current Process Overview</w:t>
      </w:r>
    </w:p>
    <w:p>
      <w:pPr>
        <w:spacing w:after="120" w:line="320" w:lineRule="exact"/>
        <w:jc w:val="both"/>
      </w:pPr>
      <w:r>
        <w:rPr>
          <w:rFonts w:ascii="Calibri" w:hAnsi="Calibri"/>
          <w:color w:val="212529"/>
          <w:sz w:val="22"/>
        </w:rPr>
        <w:t>The current employment service process is primarily paper-based and requires citizens to visit a regional office of the State Employment Agency. The process involves multiple manual steps, paper document handling and limited communication between the citizen and the agency during processing. There is no digital channel for application submission or status tracking.</w:t>
      </w:r>
    </w:p>
    <w:p>
      <w:pPr>
        <w:pStyle w:val="Heading2"/>
      </w:pPr>
      <w:r>
        <w:rPr>
          <w:rFonts w:ascii="Calibri" w:hAnsi="Calibri"/>
          <w:color w:val="212529"/>
          <w:sz w:val="28"/>
        </w:rPr>
        <w:t>5.2 Current Service Journey Stages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Stage</w:t>
            </w:r>
          </w:p>
        </w:tc>
        <w:tc>
          <w:tcPr>
            <w:tcW w:type="dxa" w:w="3041"/>
            <w:shd w:fill="005A9C" w:val="clear"/>
          </w:tcPr>
          <w:p>
            <w:r/>
            <w:r>
              <w:rPr>
                <w:rFonts w:ascii="Calibri" w:hAnsi="Calibri"/>
                <w:b/>
                <w:color w:val="FFFFFF"/>
                <w:sz w:val="20"/>
              </w:rPr>
              <w:t>Activity</w:t>
            </w:r>
          </w:p>
        </w:tc>
        <w:tc>
          <w:tcPr>
            <w:tcW w:type="dxa" w:w="3041"/>
            <w:shd w:fill="005A9C" w:val="clear"/>
          </w:tcPr>
          <w:p>
            <w:r/>
            <w:r>
              <w:rPr>
                <w:rFonts w:ascii="Calibri" w:hAnsi="Calibri"/>
                <w:b/>
                <w:color w:val="FFFFFF"/>
                <w:sz w:val="20"/>
              </w:rPr>
              <w:t>Pain Point</w:t>
            </w:r>
          </w:p>
        </w:tc>
      </w:tr>
      <w:tr>
        <w:tc>
          <w:tcPr>
            <w:tcW w:type="dxa" w:w="3041"/>
          </w:tcPr>
          <w:p>
            <w:r/>
            <w:r>
              <w:rPr>
                <w:rFonts w:ascii="Calibri" w:hAnsi="Calibri"/>
                <w:color w:val="212529"/>
                <w:sz w:val="20"/>
              </w:rPr>
              <w:t>1. Awareness</w:t>
            </w:r>
          </w:p>
        </w:tc>
        <w:tc>
          <w:tcPr>
            <w:tcW w:type="dxa" w:w="3041"/>
          </w:tcPr>
          <w:p>
            <w:r/>
            <w:r>
              <w:rPr>
                <w:rFonts w:ascii="Calibri" w:hAnsi="Calibri"/>
                <w:color w:val="212529"/>
                <w:sz w:val="20"/>
              </w:rPr>
              <w:t>Citizen learns about available services through word-of-mouth or media</w:t>
            </w:r>
          </w:p>
        </w:tc>
        <w:tc>
          <w:tcPr>
            <w:tcW w:type="dxa" w:w="3041"/>
          </w:tcPr>
          <w:p>
            <w:r/>
            <w:r>
              <w:rPr>
                <w:rFonts w:ascii="Calibri" w:hAnsi="Calibri"/>
                <w:color w:val="212529"/>
                <w:sz w:val="20"/>
              </w:rPr>
              <w:t>Low awareness, no centralized information</w:t>
            </w:r>
          </w:p>
        </w:tc>
      </w:tr>
      <w:tr>
        <w:tc>
          <w:tcPr>
            <w:tcW w:type="dxa" w:w="3041"/>
          </w:tcPr>
          <w:p>
            <w:r/>
            <w:r>
              <w:rPr>
                <w:rFonts w:ascii="Calibri" w:hAnsi="Calibri"/>
                <w:color w:val="212529"/>
                <w:sz w:val="20"/>
              </w:rPr>
              <w:t>2. Document Preparation</w:t>
            </w:r>
          </w:p>
        </w:tc>
        <w:tc>
          <w:tcPr>
            <w:tcW w:type="dxa" w:w="3041"/>
          </w:tcPr>
          <w:p>
            <w:r/>
            <w:r>
              <w:rPr>
                <w:rFonts w:ascii="Calibri" w:hAnsi="Calibri"/>
                <w:color w:val="212529"/>
                <w:sz w:val="20"/>
              </w:rPr>
              <w:t>Citizen gathers required documents (ID, diploma, references)</w:t>
            </w:r>
          </w:p>
        </w:tc>
        <w:tc>
          <w:tcPr>
            <w:tcW w:type="dxa" w:w="3041"/>
          </w:tcPr>
          <w:p>
            <w:r/>
            <w:r>
              <w:rPr>
                <w:rFonts w:ascii="Calibri" w:hAnsi="Calibri"/>
                <w:color w:val="212529"/>
                <w:sz w:val="20"/>
              </w:rPr>
              <w:t>Unclear requirements, frequent rejections due to incomplete documents</w:t>
            </w:r>
          </w:p>
        </w:tc>
      </w:tr>
      <w:tr>
        <w:tc>
          <w:tcPr>
            <w:tcW w:type="dxa" w:w="3041"/>
          </w:tcPr>
          <w:p>
            <w:r/>
            <w:r>
              <w:rPr>
                <w:rFonts w:ascii="Calibri" w:hAnsi="Calibri"/>
                <w:color w:val="212529"/>
                <w:sz w:val="20"/>
              </w:rPr>
              <w:t>3. Office Visit</w:t>
            </w:r>
          </w:p>
        </w:tc>
        <w:tc>
          <w:tcPr>
            <w:tcW w:type="dxa" w:w="3041"/>
          </w:tcPr>
          <w:p>
            <w:r/>
            <w:r>
              <w:rPr>
                <w:rFonts w:ascii="Calibri" w:hAnsi="Calibri"/>
                <w:color w:val="212529"/>
                <w:sz w:val="20"/>
              </w:rPr>
              <w:t>Citizen travels to regional office, waits in queue, submits paper application</w:t>
            </w:r>
          </w:p>
        </w:tc>
        <w:tc>
          <w:tcPr>
            <w:tcW w:type="dxa" w:w="3041"/>
          </w:tcPr>
          <w:p>
            <w:r/>
            <w:r>
              <w:rPr>
                <w:rFonts w:ascii="Calibri" w:hAnsi="Calibri"/>
                <w:color w:val="212529"/>
                <w:sz w:val="20"/>
              </w:rPr>
              <w:t>Long travel time, queues, limited office hours</w:t>
            </w:r>
          </w:p>
        </w:tc>
      </w:tr>
      <w:tr>
        <w:tc>
          <w:tcPr>
            <w:tcW w:type="dxa" w:w="3041"/>
          </w:tcPr>
          <w:p>
            <w:r/>
            <w:r>
              <w:rPr>
                <w:rFonts w:ascii="Calibri" w:hAnsi="Calibri"/>
                <w:color w:val="212529"/>
                <w:sz w:val="20"/>
              </w:rPr>
              <w:t>4. Application Receipt</w:t>
            </w:r>
          </w:p>
        </w:tc>
        <w:tc>
          <w:tcPr>
            <w:tcW w:type="dxa" w:w="3041"/>
          </w:tcPr>
          <w:p>
            <w:r/>
            <w:r>
              <w:rPr>
                <w:rFonts w:ascii="Calibri" w:hAnsi="Calibri"/>
                <w:color w:val="212529"/>
                <w:sz w:val="20"/>
              </w:rPr>
              <w:t>Officer reviews documents, creates paper file, provides receipt number</w:t>
            </w:r>
          </w:p>
        </w:tc>
        <w:tc>
          <w:tcPr>
            <w:tcW w:type="dxa" w:w="3041"/>
          </w:tcPr>
          <w:p>
            <w:r/>
            <w:r>
              <w:rPr>
                <w:rFonts w:ascii="Calibri" w:hAnsi="Calibri"/>
                <w:color w:val="212529"/>
                <w:sz w:val="20"/>
              </w:rPr>
              <w:t>No digital record, manual data entry errors</w:t>
            </w:r>
          </w:p>
        </w:tc>
      </w:tr>
      <w:tr>
        <w:tc>
          <w:tcPr>
            <w:tcW w:type="dxa" w:w="3041"/>
          </w:tcPr>
          <w:p>
            <w:r/>
            <w:r>
              <w:rPr>
                <w:rFonts w:ascii="Calibri" w:hAnsi="Calibri"/>
                <w:color w:val="212529"/>
                <w:sz w:val="20"/>
              </w:rPr>
              <w:t>5. Processing</w:t>
            </w:r>
          </w:p>
        </w:tc>
        <w:tc>
          <w:tcPr>
            <w:tcW w:type="dxa" w:w="3041"/>
          </w:tcPr>
          <w:p>
            <w:r/>
            <w:r>
              <w:rPr>
                <w:rFonts w:ascii="Calibri" w:hAnsi="Calibri"/>
                <w:color w:val="212529"/>
                <w:sz w:val="20"/>
              </w:rPr>
              <w:t>Application is reviewed by multiple officers across different departments</w:t>
            </w:r>
          </w:p>
        </w:tc>
        <w:tc>
          <w:tcPr>
            <w:tcW w:type="dxa" w:w="3041"/>
          </w:tcPr>
          <w:p>
            <w:r/>
            <w:r>
              <w:rPr>
                <w:rFonts w:ascii="Calibri" w:hAnsi="Calibri"/>
                <w:color w:val="212529"/>
                <w:sz w:val="20"/>
              </w:rPr>
              <w:t>Average 14 days, no visibility for citizen</w:t>
            </w:r>
          </w:p>
        </w:tc>
      </w:tr>
      <w:tr>
        <w:tc>
          <w:tcPr>
            <w:tcW w:type="dxa" w:w="3041"/>
          </w:tcPr>
          <w:p>
            <w:r/>
            <w:r>
              <w:rPr>
                <w:rFonts w:ascii="Calibri" w:hAnsi="Calibri"/>
                <w:color w:val="212529"/>
                <w:sz w:val="20"/>
              </w:rPr>
              <w:t>6. Decision</w:t>
            </w:r>
          </w:p>
        </w:tc>
        <w:tc>
          <w:tcPr>
            <w:tcW w:type="dxa" w:w="3041"/>
          </w:tcPr>
          <w:p>
            <w:r/>
            <w:r>
              <w:rPr>
                <w:rFonts w:ascii="Calibri" w:hAnsi="Calibri"/>
                <w:color w:val="212529"/>
                <w:sz w:val="20"/>
              </w:rPr>
              <w:t>Final decision is made and recorded on paper file</w:t>
            </w:r>
          </w:p>
        </w:tc>
        <w:tc>
          <w:tcPr>
            <w:tcW w:type="dxa" w:w="3041"/>
          </w:tcPr>
          <w:p>
            <w:r/>
            <w:r>
              <w:rPr>
                <w:rFonts w:ascii="Calibri" w:hAnsi="Calibri"/>
                <w:color w:val="212529"/>
                <w:sz w:val="20"/>
              </w:rPr>
              <w:t>No notification system, citizen must call or visit to check</w:t>
            </w:r>
          </w:p>
        </w:tc>
      </w:tr>
      <w:tr>
        <w:tc>
          <w:tcPr>
            <w:tcW w:type="dxa" w:w="3041"/>
          </w:tcPr>
          <w:p>
            <w:r/>
            <w:r>
              <w:rPr>
                <w:rFonts w:ascii="Calibri" w:hAnsi="Calibri"/>
                <w:color w:val="212529"/>
                <w:sz w:val="20"/>
              </w:rPr>
              <w:t>7. Result Delivery</w:t>
            </w:r>
          </w:p>
        </w:tc>
        <w:tc>
          <w:tcPr>
            <w:tcW w:type="dxa" w:w="3041"/>
          </w:tcPr>
          <w:p>
            <w:r/>
            <w:r>
              <w:rPr>
                <w:rFonts w:ascii="Calibri" w:hAnsi="Calibri"/>
                <w:color w:val="212529"/>
                <w:sz w:val="20"/>
              </w:rPr>
              <w:t>Citizen visits office again to receive the decision document</w:t>
            </w:r>
          </w:p>
        </w:tc>
        <w:tc>
          <w:tcPr>
            <w:tcW w:type="dxa" w:w="3041"/>
          </w:tcPr>
          <w:p>
            <w:r/>
            <w:r>
              <w:rPr>
                <w:rFonts w:ascii="Calibri" w:hAnsi="Calibri"/>
                <w:color w:val="212529"/>
                <w:sz w:val="20"/>
              </w:rPr>
              <w:t>Second visit required, additional cost and time</w:t>
            </w:r>
          </w:p>
        </w:tc>
      </w:tr>
    </w:tbl>
    <w:p/>
    <w:p>
      <w:pPr>
        <w:pStyle w:val="Heading2"/>
      </w:pPr>
      <w:r>
        <w:rPr>
          <w:rFonts w:ascii="Calibri" w:hAnsi="Calibri"/>
          <w:color w:val="212529"/>
          <w:sz w:val="28"/>
        </w:rPr>
        <w:t>5.3 Gap Analysis Summary</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Current Gap</w:t>
            </w:r>
          </w:p>
        </w:tc>
        <w:tc>
          <w:tcPr>
            <w:tcW w:type="dxa" w:w="3041"/>
            <w:shd w:fill="005A9C" w:val="clear"/>
          </w:tcPr>
          <w:p>
            <w:r/>
            <w:r>
              <w:rPr>
                <w:rFonts w:ascii="Calibri" w:hAnsi="Calibri"/>
                <w:b/>
                <w:color w:val="FFFFFF"/>
                <w:sz w:val="20"/>
              </w:rPr>
              <w:t>Description</w:t>
            </w:r>
          </w:p>
        </w:tc>
        <w:tc>
          <w:tcPr>
            <w:tcW w:type="dxa" w:w="3041"/>
            <w:shd w:fill="005A9C" w:val="clear"/>
          </w:tcPr>
          <w:p>
            <w:r/>
            <w:r>
              <w:rPr>
                <w:rFonts w:ascii="Calibri" w:hAnsi="Calibri"/>
                <w:b/>
                <w:color w:val="FFFFFF"/>
                <w:sz w:val="20"/>
              </w:rPr>
              <w:t>Proposed Solution</w:t>
            </w:r>
          </w:p>
        </w:tc>
      </w:tr>
      <w:tr>
        <w:tc>
          <w:tcPr>
            <w:tcW w:type="dxa" w:w="3041"/>
          </w:tcPr>
          <w:p>
            <w:r/>
            <w:r>
              <w:rPr>
                <w:rFonts w:ascii="Calibri" w:hAnsi="Calibri"/>
                <w:color w:val="212529"/>
                <w:sz w:val="20"/>
              </w:rPr>
              <w:t>No digital channel</w:t>
            </w:r>
          </w:p>
        </w:tc>
        <w:tc>
          <w:tcPr>
            <w:tcW w:type="dxa" w:w="3041"/>
          </w:tcPr>
          <w:p>
            <w:r/>
            <w:r>
              <w:rPr>
                <w:rFonts w:ascii="Calibri" w:hAnsi="Calibri"/>
                <w:color w:val="212529"/>
                <w:sz w:val="20"/>
              </w:rPr>
              <w:t>All services require physical office visit</w:t>
            </w:r>
          </w:p>
        </w:tc>
        <w:tc>
          <w:tcPr>
            <w:tcW w:type="dxa" w:w="3041"/>
          </w:tcPr>
          <w:p>
            <w:r/>
            <w:r>
              <w:rPr>
                <w:rFonts w:ascii="Calibri" w:hAnsi="Calibri"/>
                <w:color w:val="212529"/>
                <w:sz w:val="20"/>
              </w:rPr>
              <w:t>Online application submission via Telegram bot and web portal</w:t>
            </w:r>
          </w:p>
        </w:tc>
      </w:tr>
      <w:tr>
        <w:tc>
          <w:tcPr>
            <w:tcW w:type="dxa" w:w="3041"/>
          </w:tcPr>
          <w:p>
            <w:r/>
            <w:r>
              <w:rPr>
                <w:rFonts w:ascii="Calibri" w:hAnsi="Calibri"/>
                <w:color w:val="212529"/>
                <w:sz w:val="20"/>
              </w:rPr>
              <w:t>No status tracking</w:t>
            </w:r>
          </w:p>
        </w:tc>
        <w:tc>
          <w:tcPr>
            <w:tcW w:type="dxa" w:w="3041"/>
          </w:tcPr>
          <w:p>
            <w:r/>
            <w:r>
              <w:rPr>
                <w:rFonts w:ascii="Calibri" w:hAnsi="Calibri"/>
                <w:color w:val="212529"/>
                <w:sz w:val="20"/>
              </w:rPr>
              <w:t>Citizens cannot check application progress</w:t>
            </w:r>
          </w:p>
        </w:tc>
        <w:tc>
          <w:tcPr>
            <w:tcW w:type="dxa" w:w="3041"/>
          </w:tcPr>
          <w:p>
            <w:r/>
            <w:r>
              <w:rPr>
                <w:rFonts w:ascii="Calibri" w:hAnsi="Calibri"/>
                <w:color w:val="212529"/>
                <w:sz w:val="20"/>
              </w:rPr>
              <w:t>Real-time status updates through digital channels</w:t>
            </w:r>
          </w:p>
        </w:tc>
      </w:tr>
      <w:tr>
        <w:tc>
          <w:tcPr>
            <w:tcW w:type="dxa" w:w="3041"/>
          </w:tcPr>
          <w:p>
            <w:r/>
            <w:r>
              <w:rPr>
                <w:rFonts w:ascii="Calibri" w:hAnsi="Calibri"/>
                <w:color w:val="212529"/>
                <w:sz w:val="20"/>
              </w:rPr>
              <w:t>Manual processing</w:t>
            </w:r>
          </w:p>
        </w:tc>
        <w:tc>
          <w:tcPr>
            <w:tcW w:type="dxa" w:w="3041"/>
          </w:tcPr>
          <w:p>
            <w:r/>
            <w:r>
              <w:rPr>
                <w:rFonts w:ascii="Calibri" w:hAnsi="Calibri"/>
                <w:color w:val="212529"/>
                <w:sz w:val="20"/>
              </w:rPr>
              <w:t>Paper-based workflow with manual handoffs</w:t>
            </w:r>
          </w:p>
        </w:tc>
        <w:tc>
          <w:tcPr>
            <w:tcW w:type="dxa" w:w="3041"/>
          </w:tcPr>
          <w:p>
            <w:r/>
            <w:r>
              <w:rPr>
                <w:rFonts w:ascii="Calibri" w:hAnsi="Calibri"/>
                <w:color w:val="212529"/>
                <w:sz w:val="20"/>
              </w:rPr>
              <w:t>Automated workflow with digital document management</w:t>
            </w:r>
          </w:p>
        </w:tc>
      </w:tr>
      <w:tr>
        <w:tc>
          <w:tcPr>
            <w:tcW w:type="dxa" w:w="3041"/>
          </w:tcPr>
          <w:p>
            <w:r/>
            <w:r>
              <w:rPr>
                <w:rFonts w:ascii="Calibri" w:hAnsi="Calibri"/>
                <w:color w:val="212529"/>
                <w:sz w:val="20"/>
              </w:rPr>
              <w:t>No integration</w:t>
            </w:r>
          </w:p>
        </w:tc>
        <w:tc>
          <w:tcPr>
            <w:tcW w:type="dxa" w:w="3041"/>
          </w:tcPr>
          <w:p>
            <w:r/>
            <w:r>
              <w:rPr>
                <w:rFonts w:ascii="Calibri" w:hAnsi="Calibri"/>
                <w:color w:val="212529"/>
                <w:sz w:val="20"/>
              </w:rPr>
              <w:t>Data not shared between government organizations</w:t>
            </w:r>
          </w:p>
        </w:tc>
        <w:tc>
          <w:tcPr>
            <w:tcW w:type="dxa" w:w="3041"/>
          </w:tcPr>
          <w:p>
            <w:r/>
            <w:r>
              <w:rPr>
                <w:rFonts w:ascii="Calibri" w:hAnsi="Calibri"/>
                <w:color w:val="212529"/>
                <w:sz w:val="20"/>
              </w:rPr>
              <w:t>Multi-agency data exchange through middleware layer</w:t>
            </w:r>
          </w:p>
        </w:tc>
      </w:tr>
      <w:tr>
        <w:tc>
          <w:tcPr>
            <w:tcW w:type="dxa" w:w="3041"/>
          </w:tcPr>
          <w:p>
            <w:r/>
            <w:r>
              <w:rPr>
                <w:rFonts w:ascii="Calibri" w:hAnsi="Calibri"/>
                <w:color w:val="212529"/>
                <w:sz w:val="20"/>
              </w:rPr>
              <w:t>No SLA monitoring</w:t>
            </w:r>
          </w:p>
        </w:tc>
        <w:tc>
          <w:tcPr>
            <w:tcW w:type="dxa" w:w="3041"/>
          </w:tcPr>
          <w:p>
            <w:r/>
            <w:r>
              <w:rPr>
                <w:rFonts w:ascii="Calibri" w:hAnsi="Calibri"/>
                <w:color w:val="212529"/>
                <w:sz w:val="20"/>
              </w:rPr>
              <w:t>Processing time not measured or tracked</w:t>
            </w:r>
          </w:p>
        </w:tc>
        <w:tc>
          <w:tcPr>
            <w:tcW w:type="dxa" w:w="3041"/>
          </w:tcPr>
          <w:p>
            <w:r/>
            <w:r>
              <w:rPr>
                <w:rFonts w:ascii="Calibri" w:hAnsi="Calibri"/>
                <w:color w:val="212529"/>
                <w:sz w:val="20"/>
              </w:rPr>
              <w:t>Real-time SLA and KPI monitoring dashboard</w:t>
            </w:r>
          </w:p>
        </w:tc>
      </w:tr>
    </w:tbl>
    <w:p/>
    <w:p>
      <w:pPr>
        <w:pStyle w:val="Heading1"/>
      </w:pPr>
      <w:r>
        <w:rPr>
          <w:rFonts w:ascii="Calibri" w:hAnsi="Calibri"/>
          <w:color w:val="005A9C"/>
          <w:sz w:val="32"/>
        </w:rPr>
        <w:t>6. To-Be Service Design</w:t>
      </w:r>
    </w:p>
    <w:p>
      <w:pPr>
        <w:pStyle w:val="Heading2"/>
      </w:pPr>
      <w:r>
        <w:rPr>
          <w:rFonts w:ascii="Calibri" w:hAnsi="Calibri"/>
          <w:color w:val="212529"/>
          <w:sz w:val="28"/>
        </w:rPr>
        <w:t>6.1 Designed Service Journey</w:t>
      </w:r>
    </w:p>
    <w:p>
      <w:pPr>
        <w:spacing w:after="120" w:line="320" w:lineRule="exact"/>
        <w:jc w:val="both"/>
      </w:pPr>
      <w:r>
        <w:rPr>
          <w:rFonts w:ascii="Calibri" w:hAnsi="Calibri"/>
          <w:color w:val="212529"/>
          <w:sz w:val="22"/>
        </w:rPr>
        <w:t>The redesigned service journey follows a life-event-based approach where the entire employment service is structured around the citizen need of finding employment or managing labor-related requirements. The journey covers the full end-to-end process from initial awareness through final result delivery, with digital channels as the primary interaction point.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Stage</w:t>
            </w:r>
          </w:p>
        </w:tc>
        <w:tc>
          <w:tcPr>
            <w:tcW w:type="dxa" w:w="3041"/>
            <w:shd w:fill="005A9C" w:val="clear"/>
          </w:tcPr>
          <w:p>
            <w:r/>
            <w:r>
              <w:rPr>
                <w:rFonts w:ascii="Calibri" w:hAnsi="Calibri"/>
                <w:b/>
                <w:color w:val="FFFFFF"/>
                <w:sz w:val="20"/>
              </w:rPr>
              <w:t>Activity</w:t>
            </w:r>
          </w:p>
        </w:tc>
        <w:tc>
          <w:tcPr>
            <w:tcW w:type="dxa" w:w="3041"/>
            <w:shd w:fill="005A9C" w:val="clear"/>
          </w:tcPr>
          <w:p>
            <w:r/>
            <w:r>
              <w:rPr>
                <w:rFonts w:ascii="Calibri" w:hAnsi="Calibri"/>
                <w:b/>
                <w:color w:val="FFFFFF"/>
                <w:sz w:val="20"/>
              </w:rPr>
              <w:t>Improvement</w:t>
            </w:r>
          </w:p>
        </w:tc>
      </w:tr>
      <w:tr>
        <w:tc>
          <w:tcPr>
            <w:tcW w:type="dxa" w:w="3041"/>
          </w:tcPr>
          <w:p>
            <w:r/>
            <w:r>
              <w:rPr>
                <w:rFonts w:ascii="Calibri" w:hAnsi="Calibri"/>
                <w:color w:val="212529"/>
                <w:sz w:val="20"/>
              </w:rPr>
              <w:t>1. Awareness</w:t>
            </w:r>
          </w:p>
        </w:tc>
        <w:tc>
          <w:tcPr>
            <w:tcW w:type="dxa" w:w="3041"/>
          </w:tcPr>
          <w:p>
            <w:r/>
            <w:r>
              <w:rPr>
                <w:rFonts w:ascii="Calibri" w:hAnsi="Calibri"/>
                <w:color w:val="212529"/>
                <w:sz w:val="20"/>
              </w:rPr>
              <w:t>Citizen discovers services through my.gov.az portal, ASAN Service or social media</w:t>
            </w:r>
          </w:p>
        </w:tc>
        <w:tc>
          <w:tcPr>
            <w:tcW w:type="dxa" w:w="3041"/>
          </w:tcPr>
          <w:p>
            <w:r/>
            <w:r>
              <w:rPr>
                <w:rFonts w:ascii="Calibri" w:hAnsi="Calibri"/>
                <w:color w:val="212529"/>
                <w:sz w:val="20"/>
              </w:rPr>
              <w:t>Centralized digital information hub</w:t>
            </w:r>
          </w:p>
        </w:tc>
      </w:tr>
      <w:tr>
        <w:tc>
          <w:tcPr>
            <w:tcW w:type="dxa" w:w="3041"/>
          </w:tcPr>
          <w:p>
            <w:r/>
            <w:r>
              <w:rPr>
                <w:rFonts w:ascii="Calibri" w:hAnsi="Calibri"/>
                <w:color w:val="212529"/>
                <w:sz w:val="20"/>
              </w:rPr>
              <w:t>2. Digital Application</w:t>
            </w:r>
          </w:p>
        </w:tc>
        <w:tc>
          <w:tcPr>
            <w:tcW w:type="dxa" w:w="3041"/>
          </w:tcPr>
          <w:p>
            <w:r/>
            <w:r>
              <w:rPr>
                <w:rFonts w:ascii="Calibri" w:hAnsi="Calibri"/>
                <w:color w:val="212529"/>
                <w:sz w:val="20"/>
              </w:rPr>
              <w:t>Citizen submits application via Telegram bot or web portal with guided document checklist</w:t>
            </w:r>
          </w:p>
        </w:tc>
        <w:tc>
          <w:tcPr>
            <w:tcW w:type="dxa" w:w="3041"/>
          </w:tcPr>
          <w:p>
            <w:r/>
            <w:r>
              <w:rPr>
                <w:rFonts w:ascii="Calibri" w:hAnsi="Calibri"/>
                <w:color w:val="212529"/>
                <w:sz w:val="20"/>
              </w:rPr>
              <w:t>Digital form with real-time validation</w:t>
            </w:r>
          </w:p>
        </w:tc>
      </w:tr>
      <w:tr>
        <w:tc>
          <w:tcPr>
            <w:tcW w:type="dxa" w:w="3041"/>
          </w:tcPr>
          <w:p>
            <w:r/>
            <w:r>
              <w:rPr>
                <w:rFonts w:ascii="Calibri" w:hAnsi="Calibri"/>
                <w:color w:val="212529"/>
                <w:sz w:val="20"/>
              </w:rPr>
              <w:t>3. Automatic Verification</w:t>
            </w:r>
          </w:p>
        </w:tc>
        <w:tc>
          <w:tcPr>
            <w:tcW w:type="dxa" w:w="3041"/>
          </w:tcPr>
          <w:p>
            <w:r/>
            <w:r>
              <w:rPr>
                <w:rFonts w:ascii="Calibri" w:hAnsi="Calibri"/>
                <w:color w:val="212529"/>
                <w:sz w:val="20"/>
              </w:rPr>
              <w:t>System automatically verifies citizen data with integrated government databases</w:t>
            </w:r>
          </w:p>
        </w:tc>
        <w:tc>
          <w:tcPr>
            <w:tcW w:type="dxa" w:w="3041"/>
          </w:tcPr>
          <w:p>
            <w:r/>
            <w:r>
              <w:rPr>
                <w:rFonts w:ascii="Calibri" w:hAnsi="Calibri"/>
                <w:color w:val="212529"/>
                <w:sz w:val="20"/>
              </w:rPr>
              <w:t>Reduced document requirements, faster processing</w:t>
            </w:r>
          </w:p>
        </w:tc>
      </w:tr>
      <w:tr>
        <w:tc>
          <w:tcPr>
            <w:tcW w:type="dxa" w:w="3041"/>
          </w:tcPr>
          <w:p>
            <w:r/>
            <w:r>
              <w:rPr>
                <w:rFonts w:ascii="Calibri" w:hAnsi="Calibri"/>
                <w:color w:val="212529"/>
                <w:sz w:val="20"/>
              </w:rPr>
              <w:t>4. Digital Processing</w:t>
            </w:r>
          </w:p>
        </w:tc>
        <w:tc>
          <w:tcPr>
            <w:tcW w:type="dxa" w:w="3041"/>
          </w:tcPr>
          <w:p>
            <w:r/>
            <w:r>
              <w:rPr>
                <w:rFonts w:ascii="Calibri" w:hAnsi="Calibri"/>
                <w:color w:val="212529"/>
                <w:sz w:val="20"/>
              </w:rPr>
              <w:t>Application is processed through automated workflow with digital routing</w:t>
            </w:r>
          </w:p>
        </w:tc>
        <w:tc>
          <w:tcPr>
            <w:tcW w:type="dxa" w:w="3041"/>
          </w:tcPr>
          <w:p>
            <w:r/>
            <w:r>
              <w:rPr>
                <w:rFonts w:ascii="Calibri" w:hAnsi="Calibri"/>
                <w:color w:val="212529"/>
                <w:sz w:val="20"/>
              </w:rPr>
              <w:t>Target: 5 business days</w:t>
            </w:r>
          </w:p>
        </w:tc>
      </w:tr>
      <w:tr>
        <w:tc>
          <w:tcPr>
            <w:tcW w:type="dxa" w:w="3041"/>
          </w:tcPr>
          <w:p>
            <w:r/>
            <w:r>
              <w:rPr>
                <w:rFonts w:ascii="Calibri" w:hAnsi="Calibri"/>
                <w:color w:val="212529"/>
                <w:sz w:val="20"/>
              </w:rPr>
              <w:t>5. Real-Time Tracking</w:t>
            </w:r>
          </w:p>
        </w:tc>
        <w:tc>
          <w:tcPr>
            <w:tcW w:type="dxa" w:w="3041"/>
          </w:tcPr>
          <w:p>
            <w:r/>
            <w:r>
              <w:rPr>
                <w:rFonts w:ascii="Calibri" w:hAnsi="Calibri"/>
                <w:color w:val="212529"/>
                <w:sz w:val="20"/>
              </w:rPr>
              <w:t>Citizen receives status notifications at each processing stage</w:t>
            </w:r>
          </w:p>
        </w:tc>
        <w:tc>
          <w:tcPr>
            <w:tcW w:type="dxa" w:w="3041"/>
          </w:tcPr>
          <w:p>
            <w:r/>
            <w:r>
              <w:rPr>
                <w:rFonts w:ascii="Calibri" w:hAnsi="Calibri"/>
                <w:color w:val="212529"/>
                <w:sz w:val="20"/>
              </w:rPr>
              <w:t>Telegram notifications + portal dashboard</w:t>
            </w:r>
          </w:p>
        </w:tc>
      </w:tr>
      <w:tr>
        <w:tc>
          <w:tcPr>
            <w:tcW w:type="dxa" w:w="3041"/>
          </w:tcPr>
          <w:p>
            <w:r/>
            <w:r>
              <w:rPr>
                <w:rFonts w:ascii="Calibri" w:hAnsi="Calibri"/>
                <w:color w:val="212529"/>
                <w:sz w:val="20"/>
              </w:rPr>
              <w:t>6. Digital Decision</w:t>
            </w:r>
          </w:p>
        </w:tc>
        <w:tc>
          <w:tcPr>
            <w:tcW w:type="dxa" w:w="3041"/>
          </w:tcPr>
          <w:p>
            <w:r/>
            <w:r>
              <w:rPr>
                <w:rFonts w:ascii="Calibri" w:hAnsi="Calibri"/>
                <w:color w:val="212529"/>
                <w:sz w:val="20"/>
              </w:rPr>
              <w:t>Decision is recorded digitally and citizen is notified immediately</w:t>
            </w:r>
          </w:p>
        </w:tc>
        <w:tc>
          <w:tcPr>
            <w:tcW w:type="dxa" w:w="3041"/>
          </w:tcPr>
          <w:p>
            <w:r/>
            <w:r>
              <w:rPr>
                <w:rFonts w:ascii="Calibri" w:hAnsi="Calibri"/>
                <w:color w:val="212529"/>
                <w:sz w:val="20"/>
              </w:rPr>
              <w:t>Push notification with result and next steps</w:t>
            </w:r>
          </w:p>
        </w:tc>
      </w:tr>
      <w:tr>
        <w:tc>
          <w:tcPr>
            <w:tcW w:type="dxa" w:w="3041"/>
          </w:tcPr>
          <w:p>
            <w:r/>
            <w:r>
              <w:rPr>
                <w:rFonts w:ascii="Calibri" w:hAnsi="Calibri"/>
                <w:color w:val="212529"/>
                <w:sz w:val="20"/>
              </w:rPr>
              <w:t>7. Digital Delivery</w:t>
            </w:r>
          </w:p>
        </w:tc>
        <w:tc>
          <w:tcPr>
            <w:tcW w:type="dxa" w:w="3041"/>
          </w:tcPr>
          <w:p>
            <w:r/>
            <w:r>
              <w:rPr>
                <w:rFonts w:ascii="Calibri" w:hAnsi="Calibri"/>
                <w:color w:val="212529"/>
                <w:sz w:val="20"/>
              </w:rPr>
              <w:t>Citizen receives the decision document through the digital channel</w:t>
            </w:r>
          </w:p>
        </w:tc>
        <w:tc>
          <w:tcPr>
            <w:tcW w:type="dxa" w:w="3041"/>
          </w:tcPr>
          <w:p>
            <w:r/>
            <w:r>
              <w:rPr>
                <w:rFonts w:ascii="Calibri" w:hAnsi="Calibri"/>
                <w:color w:val="212529"/>
                <w:sz w:val="20"/>
              </w:rPr>
              <w:t>PDF download or delivery via ASAN Service</w:t>
            </w:r>
          </w:p>
        </w:tc>
      </w:tr>
    </w:tbl>
    <w:p/>
    <w:p>
      <w:pPr>
        <w:pStyle w:val="Heading2"/>
      </w:pPr>
      <w:r>
        <w:rPr>
          <w:rFonts w:ascii="Calibri" w:hAnsi="Calibri"/>
          <w:color w:val="212529"/>
          <w:sz w:val="28"/>
        </w:rPr>
        <w:t>6.2 Service Principles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Principle</w:t>
            </w:r>
          </w:p>
        </w:tc>
        <w:tc>
          <w:tcPr>
            <w:tcW w:type="dxa" w:w="4561"/>
            <w:shd w:fill="005A9C" w:val="clear"/>
          </w:tcPr>
          <w:p>
            <w:r/>
            <w:r>
              <w:rPr>
                <w:rFonts w:ascii="Calibri" w:hAnsi="Calibri"/>
                <w:b/>
                <w:color w:val="FFFFFF"/>
                <w:sz w:val="20"/>
              </w:rPr>
              <w:t>Description</w:t>
            </w:r>
          </w:p>
        </w:tc>
      </w:tr>
      <w:tr>
        <w:tc>
          <w:tcPr>
            <w:tcW w:type="dxa" w:w="4561"/>
          </w:tcPr>
          <w:p>
            <w:r/>
            <w:r>
              <w:rPr>
                <w:rFonts w:ascii="Calibri" w:hAnsi="Calibri"/>
                <w:color w:val="212529"/>
                <w:sz w:val="20"/>
              </w:rPr>
              <w:t>Citizen-first design</w:t>
            </w:r>
          </w:p>
        </w:tc>
        <w:tc>
          <w:tcPr>
            <w:tcW w:type="dxa" w:w="4561"/>
          </w:tcPr>
          <w:p>
            <w:r/>
            <w:r>
              <w:rPr>
                <w:rFonts w:ascii="Calibri" w:hAnsi="Calibri"/>
                <w:color w:val="212529"/>
                <w:sz w:val="20"/>
              </w:rPr>
              <w:t>Every design decision starts from the citizen need, not institutional convenience</w:t>
            </w:r>
          </w:p>
        </w:tc>
      </w:tr>
      <w:tr>
        <w:tc>
          <w:tcPr>
            <w:tcW w:type="dxa" w:w="4561"/>
          </w:tcPr>
          <w:p>
            <w:r/>
            <w:r>
              <w:rPr>
                <w:rFonts w:ascii="Calibri" w:hAnsi="Calibri"/>
                <w:color w:val="212529"/>
                <w:sz w:val="20"/>
              </w:rPr>
              <w:t>Digital by default</w:t>
            </w:r>
          </w:p>
        </w:tc>
        <w:tc>
          <w:tcPr>
            <w:tcW w:type="dxa" w:w="4561"/>
          </w:tcPr>
          <w:p>
            <w:r/>
            <w:r>
              <w:rPr>
                <w:rFonts w:ascii="Calibri" w:hAnsi="Calibri"/>
                <w:color w:val="212529"/>
                <w:sz w:val="20"/>
              </w:rPr>
              <w:t>Digital channels are the primary service delivery method, physical visits are the exception</w:t>
            </w:r>
          </w:p>
        </w:tc>
      </w:tr>
      <w:tr>
        <w:tc>
          <w:tcPr>
            <w:tcW w:type="dxa" w:w="4561"/>
          </w:tcPr>
          <w:p>
            <w:r/>
            <w:r>
              <w:rPr>
                <w:rFonts w:ascii="Calibri" w:hAnsi="Calibri"/>
                <w:color w:val="212529"/>
                <w:sz w:val="20"/>
              </w:rPr>
              <w:t>Life-event grouping</w:t>
            </w:r>
          </w:p>
        </w:tc>
        <w:tc>
          <w:tcPr>
            <w:tcW w:type="dxa" w:w="4561"/>
          </w:tcPr>
          <w:p>
            <w:r/>
            <w:r>
              <w:rPr>
                <w:rFonts w:ascii="Calibri" w:hAnsi="Calibri"/>
                <w:color w:val="212529"/>
                <w:sz w:val="20"/>
              </w:rPr>
              <w:t>Services are organized around citizen life events, not government departments</w:t>
            </w:r>
          </w:p>
        </w:tc>
      </w:tr>
      <w:tr>
        <w:tc>
          <w:tcPr>
            <w:tcW w:type="dxa" w:w="4561"/>
          </w:tcPr>
          <w:p>
            <w:r/>
            <w:r>
              <w:rPr>
                <w:rFonts w:ascii="Calibri" w:hAnsi="Calibri"/>
                <w:color w:val="212529"/>
                <w:sz w:val="20"/>
              </w:rPr>
              <w:t>Transparency</w:t>
            </w:r>
          </w:p>
        </w:tc>
        <w:tc>
          <w:tcPr>
            <w:tcW w:type="dxa" w:w="4561"/>
          </w:tcPr>
          <w:p>
            <w:r/>
            <w:r>
              <w:rPr>
                <w:rFonts w:ascii="Calibri" w:hAnsi="Calibri"/>
                <w:color w:val="212529"/>
                <w:sz w:val="20"/>
              </w:rPr>
              <w:t>Citizens have full visibility into their application status at all times</w:t>
            </w:r>
          </w:p>
        </w:tc>
      </w:tr>
      <w:tr>
        <w:tc>
          <w:tcPr>
            <w:tcW w:type="dxa" w:w="4561"/>
          </w:tcPr>
          <w:p>
            <w:r/>
            <w:r>
              <w:rPr>
                <w:rFonts w:ascii="Calibri" w:hAnsi="Calibri"/>
                <w:color w:val="212529"/>
                <w:sz w:val="20"/>
              </w:rPr>
              <w:t>Multi-agency coordination</w:t>
            </w:r>
          </w:p>
        </w:tc>
        <w:tc>
          <w:tcPr>
            <w:tcW w:type="dxa" w:w="4561"/>
          </w:tcPr>
          <w:p>
            <w:r/>
            <w:r>
              <w:rPr>
                <w:rFonts w:ascii="Calibri" w:hAnsi="Calibri"/>
                <w:color w:val="212529"/>
                <w:sz w:val="20"/>
              </w:rPr>
              <w:t>Service delivery requires seamless data exchange between government organizations</w:t>
            </w:r>
          </w:p>
        </w:tc>
      </w:tr>
      <w:tr>
        <w:tc>
          <w:tcPr>
            <w:tcW w:type="dxa" w:w="4561"/>
          </w:tcPr>
          <w:p>
            <w:r/>
            <w:r>
              <w:rPr>
                <w:rFonts w:ascii="Calibri" w:hAnsi="Calibri"/>
                <w:color w:val="212529"/>
                <w:sz w:val="20"/>
              </w:rPr>
              <w:t>Continuous improvement</w:t>
            </w:r>
          </w:p>
        </w:tc>
        <w:tc>
          <w:tcPr>
            <w:tcW w:type="dxa" w:w="4561"/>
          </w:tcPr>
          <w:p>
            <w:r/>
            <w:r>
              <w:rPr>
                <w:rFonts w:ascii="Calibri" w:hAnsi="Calibri"/>
                <w:color w:val="212529"/>
                <w:sz w:val="20"/>
              </w:rPr>
              <w:t>Service performance is measured through KPIs and user feedback drives improvements</w:t>
            </w:r>
          </w:p>
        </w:tc>
      </w:tr>
    </w:tbl>
    <w:p/>
    <w:p>
      <w:pPr>
        <w:pStyle w:val="Heading1"/>
      </w:pPr>
      <w:r>
        <w:rPr>
          <w:rFonts w:ascii="Calibri" w:hAnsi="Calibri"/>
          <w:color w:val="005A9C"/>
          <w:sz w:val="32"/>
        </w:rPr>
        <w:t>7. Service Blueprint</w:t>
      </w:r>
    </w:p>
    <w:p>
      <w:pPr>
        <w:pStyle w:val="Heading2"/>
      </w:pPr>
      <w:r>
        <w:rPr>
          <w:rFonts w:ascii="Calibri" w:hAnsi="Calibri"/>
          <w:color w:val="212529"/>
          <w:sz w:val="28"/>
        </w:rPr>
        <w:t>7.1 Blueprint Overview</w:t>
      </w:r>
    </w:p>
    <w:p>
      <w:pPr>
        <w:spacing w:after="120" w:line="320" w:lineRule="exact"/>
        <w:jc w:val="both"/>
      </w:pPr>
      <w:r>
        <w:rPr>
          <w:rFonts w:ascii="Calibri" w:hAnsi="Calibri"/>
          <w:color w:val="212529"/>
          <w:sz w:val="22"/>
        </w:rPr>
        <w:t>The service blueprint maps the relationship between the citizen journey and the back-stage processes, support systems and organizational structures required to deliver the service. The blueprint identifies critical touchpoints, handoff points between departments and integration requirements with external systems.</w:t>
      </w:r>
    </w:p>
    <w:p>
      <w:pPr>
        <w:pStyle w:val="Heading2"/>
      </w:pPr>
      <w:r>
        <w:rPr>
          <w:rFonts w:ascii="Calibri" w:hAnsi="Calibri"/>
          <w:color w:val="212529"/>
          <w:sz w:val="28"/>
        </w:rPr>
        <w:t>7.2 Blueprint Layers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Layer</w:t>
            </w:r>
          </w:p>
        </w:tc>
        <w:tc>
          <w:tcPr>
            <w:tcW w:type="dxa" w:w="4561"/>
            <w:shd w:fill="005A9C" w:val="clear"/>
          </w:tcPr>
          <w:p>
            <w:r/>
            <w:r>
              <w:rPr>
                <w:rFonts w:ascii="Calibri" w:hAnsi="Calibri"/>
                <w:b/>
                <w:color w:val="FFFFFF"/>
                <w:sz w:val="20"/>
              </w:rPr>
              <w:t>Components</w:t>
            </w:r>
          </w:p>
        </w:tc>
      </w:tr>
      <w:tr>
        <w:tc>
          <w:tcPr>
            <w:tcW w:type="dxa" w:w="4561"/>
          </w:tcPr>
          <w:p>
            <w:r/>
            <w:r>
              <w:rPr>
                <w:rFonts w:ascii="Calibri" w:hAnsi="Calibri"/>
                <w:color w:val="212529"/>
                <w:sz w:val="20"/>
              </w:rPr>
              <w:t>Physical Evidence</w:t>
            </w:r>
          </w:p>
        </w:tc>
        <w:tc>
          <w:tcPr>
            <w:tcW w:type="dxa" w:w="4561"/>
          </w:tcPr>
          <w:p>
            <w:r/>
            <w:r>
              <w:rPr>
                <w:rFonts w:ascii="Calibri" w:hAnsi="Calibri"/>
                <w:color w:val="212529"/>
                <w:sz w:val="20"/>
              </w:rPr>
              <w:t>Telegram bot interface, Web portal, Notification messages, PDF decision documents</w:t>
            </w:r>
          </w:p>
        </w:tc>
      </w:tr>
      <w:tr>
        <w:tc>
          <w:tcPr>
            <w:tcW w:type="dxa" w:w="4561"/>
          </w:tcPr>
          <w:p>
            <w:r/>
            <w:r>
              <w:rPr>
                <w:rFonts w:ascii="Calibri" w:hAnsi="Calibri"/>
                <w:color w:val="212529"/>
                <w:sz w:val="20"/>
              </w:rPr>
              <w:t>Citizen Actions</w:t>
            </w:r>
          </w:p>
        </w:tc>
        <w:tc>
          <w:tcPr>
            <w:tcW w:type="dxa" w:w="4561"/>
          </w:tcPr>
          <w:p>
            <w:r/>
            <w:r>
              <w:rPr>
                <w:rFonts w:ascii="Calibri" w:hAnsi="Calibri"/>
                <w:color w:val="212529"/>
                <w:sz w:val="20"/>
              </w:rPr>
              <w:t>Open app, Fill application, Upload documents, Check status, Download result</w:t>
            </w:r>
          </w:p>
        </w:tc>
      </w:tr>
      <w:tr>
        <w:tc>
          <w:tcPr>
            <w:tcW w:type="dxa" w:w="4561"/>
          </w:tcPr>
          <w:p>
            <w:r/>
            <w:r>
              <w:rPr>
                <w:rFonts w:ascii="Calibri" w:hAnsi="Calibri"/>
                <w:color w:val="212529"/>
                <w:sz w:val="20"/>
              </w:rPr>
              <w:t>Front-Stage (Visible)</w:t>
            </w:r>
          </w:p>
        </w:tc>
        <w:tc>
          <w:tcPr>
            <w:tcW w:type="dxa" w:w="4561"/>
          </w:tcPr>
          <w:p>
            <w:r/>
            <w:r>
              <w:rPr>
                <w:rFonts w:ascii="Calibri" w:hAnsi="Calibri"/>
                <w:color w:val="212529"/>
                <w:sz w:val="20"/>
              </w:rPr>
              <w:t>Welcome message, Application form, Document validation, Status page, Result delivery</w:t>
            </w:r>
          </w:p>
        </w:tc>
      </w:tr>
      <w:tr>
        <w:tc>
          <w:tcPr>
            <w:tcW w:type="dxa" w:w="4561"/>
          </w:tcPr>
          <w:p>
            <w:r/>
            <w:r>
              <w:rPr>
                <w:rFonts w:ascii="Calibri" w:hAnsi="Calibri"/>
                <w:color w:val="212529"/>
                <w:sz w:val="20"/>
              </w:rPr>
              <w:t>Back-Stage (Internal)</w:t>
            </w:r>
          </w:p>
        </w:tc>
        <w:tc>
          <w:tcPr>
            <w:tcW w:type="dxa" w:w="4561"/>
          </w:tcPr>
          <w:p>
            <w:r/>
            <w:r>
              <w:rPr>
                <w:rFonts w:ascii="Calibri" w:hAnsi="Calibri"/>
                <w:color w:val="212529"/>
                <w:sz w:val="20"/>
              </w:rPr>
              <w:t>Data verification, Routing to department, Review process, Decision recording, Notification trigger</w:t>
            </w:r>
          </w:p>
        </w:tc>
      </w:tr>
      <w:tr>
        <w:tc>
          <w:tcPr>
            <w:tcW w:type="dxa" w:w="4561"/>
          </w:tcPr>
          <w:p>
            <w:r/>
            <w:r>
              <w:rPr>
                <w:rFonts w:ascii="Calibri" w:hAnsi="Calibri"/>
                <w:color w:val="212529"/>
                <w:sz w:val="20"/>
              </w:rPr>
              <w:t>Support Systems</w:t>
            </w:r>
          </w:p>
        </w:tc>
        <w:tc>
          <w:tcPr>
            <w:tcW w:type="dxa" w:w="4561"/>
          </w:tcPr>
          <w:p>
            <w:r/>
            <w:r>
              <w:rPr>
                <w:rFonts w:ascii="Calibri" w:hAnsi="Calibri"/>
                <w:color w:val="212529"/>
                <w:sz w:val="20"/>
              </w:rPr>
              <w:t>Database, Integration middleware, Workflow engine, Monitoring dashboard, Document management</w:t>
            </w:r>
          </w:p>
        </w:tc>
      </w:tr>
    </w:tbl>
    <w:p/>
    <w:p>
      <w:pPr>
        <w:pStyle w:val="Heading2"/>
      </w:pPr>
      <w:r>
        <w:rPr>
          <w:rFonts w:ascii="Calibri" w:hAnsi="Calibri"/>
          <w:color w:val="212529"/>
          <w:sz w:val="28"/>
        </w:rPr>
        <w:t>7.3 Critical Touchpoints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ID</w:t>
            </w:r>
          </w:p>
        </w:tc>
        <w:tc>
          <w:tcPr>
            <w:tcW w:type="dxa" w:w="2280"/>
            <w:shd w:fill="005A9C" w:val="clear"/>
          </w:tcPr>
          <w:p>
            <w:r/>
            <w:r>
              <w:rPr>
                <w:rFonts w:ascii="Calibri" w:hAnsi="Calibri"/>
                <w:b/>
                <w:color w:val="FFFFFF"/>
                <w:sz w:val="20"/>
              </w:rPr>
              <w:t>Touchpoint</w:t>
            </w:r>
          </w:p>
        </w:tc>
        <w:tc>
          <w:tcPr>
            <w:tcW w:type="dxa" w:w="2280"/>
            <w:shd w:fill="005A9C" w:val="clear"/>
          </w:tcPr>
          <w:p>
            <w:r/>
            <w:r>
              <w:rPr>
                <w:rFonts w:ascii="Calibri" w:hAnsi="Calibri"/>
                <w:b/>
                <w:color w:val="FFFFFF"/>
                <w:sz w:val="20"/>
              </w:rPr>
              <w:t>Description</w:t>
            </w:r>
          </w:p>
        </w:tc>
        <w:tc>
          <w:tcPr>
            <w:tcW w:type="dxa" w:w="2280"/>
            <w:shd w:fill="005A9C" w:val="clear"/>
          </w:tcPr>
          <w:p>
            <w:r/>
            <w:r>
              <w:rPr>
                <w:rFonts w:ascii="Calibri" w:hAnsi="Calibri"/>
                <w:b/>
                <w:color w:val="FFFFFF"/>
                <w:sz w:val="20"/>
              </w:rPr>
              <w:t>Channel</w:t>
            </w:r>
          </w:p>
        </w:tc>
      </w:tr>
      <w:tr>
        <w:tc>
          <w:tcPr>
            <w:tcW w:type="dxa" w:w="2280"/>
          </w:tcPr>
          <w:p>
            <w:r/>
            <w:r>
              <w:rPr>
                <w:rFonts w:ascii="Calibri" w:hAnsi="Calibri"/>
                <w:color w:val="212529"/>
                <w:sz w:val="20"/>
              </w:rPr>
              <w:t>TP-01</w:t>
            </w:r>
          </w:p>
        </w:tc>
        <w:tc>
          <w:tcPr>
            <w:tcW w:type="dxa" w:w="2280"/>
          </w:tcPr>
          <w:p>
            <w:r/>
            <w:r>
              <w:rPr>
                <w:rFonts w:ascii="Calibri" w:hAnsi="Calibri"/>
                <w:color w:val="212529"/>
                <w:sz w:val="20"/>
              </w:rPr>
              <w:t>Application form</w:t>
            </w:r>
          </w:p>
        </w:tc>
        <w:tc>
          <w:tcPr>
            <w:tcW w:type="dxa" w:w="2280"/>
          </w:tcPr>
          <w:p>
            <w:r/>
            <w:r>
              <w:rPr>
                <w:rFonts w:ascii="Calibri" w:hAnsi="Calibri"/>
                <w:color w:val="212529"/>
                <w:sz w:val="20"/>
              </w:rPr>
              <w:t>Digital form with guided document checklist and real-time validation</w:t>
            </w:r>
          </w:p>
        </w:tc>
        <w:tc>
          <w:tcPr>
            <w:tcW w:type="dxa" w:w="2280"/>
          </w:tcPr>
          <w:p>
            <w:r/>
            <w:r>
              <w:rPr>
                <w:rFonts w:ascii="Calibri" w:hAnsi="Calibri"/>
                <w:color w:val="212529"/>
                <w:sz w:val="20"/>
              </w:rPr>
              <w:t>Telegram bot + Web portal</w:t>
            </w:r>
          </w:p>
        </w:tc>
      </w:tr>
      <w:tr>
        <w:tc>
          <w:tcPr>
            <w:tcW w:type="dxa" w:w="2280"/>
          </w:tcPr>
          <w:p>
            <w:r/>
            <w:r>
              <w:rPr>
                <w:rFonts w:ascii="Calibri" w:hAnsi="Calibri"/>
                <w:color w:val="212529"/>
                <w:sz w:val="20"/>
              </w:rPr>
              <w:t>TP-02</w:t>
            </w:r>
          </w:p>
        </w:tc>
        <w:tc>
          <w:tcPr>
            <w:tcW w:type="dxa" w:w="2280"/>
          </w:tcPr>
          <w:p>
            <w:r/>
            <w:r>
              <w:rPr>
                <w:rFonts w:ascii="Calibri" w:hAnsi="Calibri"/>
                <w:color w:val="212529"/>
                <w:sz w:val="20"/>
              </w:rPr>
              <w:t>Document upload</w:t>
            </w:r>
          </w:p>
        </w:tc>
        <w:tc>
          <w:tcPr>
            <w:tcW w:type="dxa" w:w="2280"/>
          </w:tcPr>
          <w:p>
            <w:r/>
            <w:r>
              <w:rPr>
                <w:rFonts w:ascii="Calibri" w:hAnsi="Calibri"/>
                <w:color w:val="212529"/>
                <w:sz w:val="20"/>
              </w:rPr>
              <w:t>Digital document upload with format and size validation</w:t>
            </w:r>
          </w:p>
        </w:tc>
        <w:tc>
          <w:tcPr>
            <w:tcW w:type="dxa" w:w="2280"/>
          </w:tcPr>
          <w:p>
            <w:r/>
            <w:r>
              <w:rPr>
                <w:rFonts w:ascii="Calibri" w:hAnsi="Calibri"/>
                <w:color w:val="212529"/>
                <w:sz w:val="20"/>
              </w:rPr>
              <w:t>Web portal</w:t>
            </w:r>
          </w:p>
        </w:tc>
      </w:tr>
      <w:tr>
        <w:tc>
          <w:tcPr>
            <w:tcW w:type="dxa" w:w="2280"/>
          </w:tcPr>
          <w:p>
            <w:r/>
            <w:r>
              <w:rPr>
                <w:rFonts w:ascii="Calibri" w:hAnsi="Calibri"/>
                <w:color w:val="212529"/>
                <w:sz w:val="20"/>
              </w:rPr>
              <w:t>TP-03</w:t>
            </w:r>
          </w:p>
        </w:tc>
        <w:tc>
          <w:tcPr>
            <w:tcW w:type="dxa" w:w="2280"/>
          </w:tcPr>
          <w:p>
            <w:r/>
            <w:r>
              <w:rPr>
                <w:rFonts w:ascii="Calibri" w:hAnsi="Calibri"/>
                <w:color w:val="212529"/>
                <w:sz w:val="20"/>
              </w:rPr>
              <w:t>Status notification</w:t>
            </w:r>
          </w:p>
        </w:tc>
        <w:tc>
          <w:tcPr>
            <w:tcW w:type="dxa" w:w="2280"/>
          </w:tcPr>
          <w:p>
            <w:r/>
            <w:r>
              <w:rPr>
                <w:rFonts w:ascii="Calibri" w:hAnsi="Calibri"/>
                <w:color w:val="212529"/>
                <w:sz w:val="20"/>
              </w:rPr>
              <w:t>Push notification at each stage change</w:t>
            </w:r>
          </w:p>
        </w:tc>
        <w:tc>
          <w:tcPr>
            <w:tcW w:type="dxa" w:w="2280"/>
          </w:tcPr>
          <w:p>
            <w:r/>
            <w:r>
              <w:rPr>
                <w:rFonts w:ascii="Calibri" w:hAnsi="Calibri"/>
                <w:color w:val="212529"/>
                <w:sz w:val="20"/>
              </w:rPr>
              <w:t>Telegram bot</w:t>
            </w:r>
          </w:p>
        </w:tc>
      </w:tr>
      <w:tr>
        <w:tc>
          <w:tcPr>
            <w:tcW w:type="dxa" w:w="2280"/>
          </w:tcPr>
          <w:p>
            <w:r/>
            <w:r>
              <w:rPr>
                <w:rFonts w:ascii="Calibri" w:hAnsi="Calibri"/>
                <w:color w:val="212529"/>
                <w:sz w:val="20"/>
              </w:rPr>
              <w:t>TP-04</w:t>
            </w:r>
          </w:p>
        </w:tc>
        <w:tc>
          <w:tcPr>
            <w:tcW w:type="dxa" w:w="2280"/>
          </w:tcPr>
          <w:p>
            <w:r/>
            <w:r>
              <w:rPr>
                <w:rFonts w:ascii="Calibri" w:hAnsi="Calibri"/>
                <w:color w:val="212529"/>
                <w:sz w:val="20"/>
              </w:rPr>
              <w:t>Support chat</w:t>
            </w:r>
          </w:p>
        </w:tc>
        <w:tc>
          <w:tcPr>
            <w:tcW w:type="dxa" w:w="2280"/>
          </w:tcPr>
          <w:p>
            <w:r/>
            <w:r>
              <w:rPr>
                <w:rFonts w:ascii="Calibri" w:hAnsi="Calibri"/>
                <w:color w:val="212529"/>
                <w:sz w:val="20"/>
              </w:rPr>
              <w:t>In-app chat for citizen questions and guidance</w:t>
            </w:r>
          </w:p>
        </w:tc>
        <w:tc>
          <w:tcPr>
            <w:tcW w:type="dxa" w:w="2280"/>
          </w:tcPr>
          <w:p>
            <w:r/>
            <w:r>
              <w:rPr>
                <w:rFonts w:ascii="Calibri" w:hAnsi="Calibri"/>
                <w:color w:val="212529"/>
                <w:sz w:val="20"/>
              </w:rPr>
              <w:t>Telegram bot</w:t>
            </w:r>
          </w:p>
        </w:tc>
      </w:tr>
      <w:tr>
        <w:tc>
          <w:tcPr>
            <w:tcW w:type="dxa" w:w="2280"/>
          </w:tcPr>
          <w:p>
            <w:r/>
            <w:r>
              <w:rPr>
                <w:rFonts w:ascii="Calibri" w:hAnsi="Calibri"/>
                <w:color w:val="212529"/>
                <w:sz w:val="20"/>
              </w:rPr>
              <w:t>TP-05</w:t>
            </w:r>
          </w:p>
        </w:tc>
        <w:tc>
          <w:tcPr>
            <w:tcW w:type="dxa" w:w="2280"/>
          </w:tcPr>
          <w:p>
            <w:r/>
            <w:r>
              <w:rPr>
                <w:rFonts w:ascii="Calibri" w:hAnsi="Calibri"/>
                <w:color w:val="212529"/>
                <w:sz w:val="20"/>
              </w:rPr>
              <w:t>Result delivery</w:t>
            </w:r>
          </w:p>
        </w:tc>
        <w:tc>
          <w:tcPr>
            <w:tcW w:type="dxa" w:w="2280"/>
          </w:tcPr>
          <w:p>
            <w:r/>
            <w:r>
              <w:rPr>
                <w:rFonts w:ascii="Calibri" w:hAnsi="Calibri"/>
                <w:color w:val="212529"/>
                <w:sz w:val="20"/>
              </w:rPr>
              <w:t>Digital decision document with QR verification code</w:t>
            </w:r>
          </w:p>
        </w:tc>
        <w:tc>
          <w:tcPr>
            <w:tcW w:type="dxa" w:w="2280"/>
          </w:tcPr>
          <w:p>
            <w:r/>
            <w:r>
              <w:rPr>
                <w:rFonts w:ascii="Calibri" w:hAnsi="Calibri"/>
                <w:color w:val="212529"/>
                <w:sz w:val="20"/>
              </w:rPr>
              <w:t>Portal + ASAN delivery</w:t>
            </w:r>
          </w:p>
        </w:tc>
      </w:tr>
    </w:tbl>
    <w:p/>
    <w:p>
      <w:pPr>
        <w:pStyle w:val="Heading1"/>
      </w:pPr>
      <w:r>
        <w:rPr>
          <w:rFonts w:ascii="Calibri" w:hAnsi="Calibri"/>
          <w:color w:val="005A9C"/>
          <w:sz w:val="32"/>
        </w:rPr>
        <w:t>8. Service Channels and Touchpoints</w:t>
      </w:r>
    </w:p>
    <w:p>
      <w:pPr>
        <w:pStyle w:val="Heading2"/>
      </w:pPr>
      <w:r>
        <w:rPr>
          <w:rFonts w:ascii="Calibri" w:hAnsi="Calibri"/>
          <w:color w:val="212529"/>
          <w:sz w:val="28"/>
        </w:rPr>
        <w:t>8.1 Channel Strategy</w:t>
      </w:r>
    </w:p>
    <w:p>
      <w:pPr>
        <w:spacing w:after="120" w:line="320" w:lineRule="exact"/>
        <w:jc w:val="both"/>
      </w:pPr>
      <w:r>
        <w:rPr>
          <w:rFonts w:ascii="Calibri" w:hAnsi="Calibri"/>
          <w:color w:val="212529"/>
          <w:sz w:val="22"/>
        </w:rPr>
        <w:t>The service is delivered through a multi-channel approach with the Telegram bot as the primary channel for application submission and status tracking. The web portal serves as a secondary channel for more complex interactions such as document upload and detailed service information. Physical office visits are reserved for exceptional cases that cannot be handled digitally.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Channel</w:t>
            </w:r>
          </w:p>
        </w:tc>
        <w:tc>
          <w:tcPr>
            <w:tcW w:type="dxa" w:w="2280"/>
            <w:shd w:fill="005A9C" w:val="clear"/>
          </w:tcPr>
          <w:p>
            <w:r/>
            <w:r>
              <w:rPr>
                <w:rFonts w:ascii="Calibri" w:hAnsi="Calibri"/>
                <w:b/>
                <w:color w:val="FFFFFF"/>
                <w:sz w:val="20"/>
              </w:rPr>
              <w:t>Role</w:t>
            </w:r>
          </w:p>
        </w:tc>
        <w:tc>
          <w:tcPr>
            <w:tcW w:type="dxa" w:w="2280"/>
            <w:shd w:fill="005A9C" w:val="clear"/>
          </w:tcPr>
          <w:p>
            <w:r/>
            <w:r>
              <w:rPr>
                <w:rFonts w:ascii="Calibri" w:hAnsi="Calibri"/>
                <w:b/>
                <w:color w:val="FFFFFF"/>
                <w:sz w:val="20"/>
              </w:rPr>
              <w:t>Services</w:t>
            </w:r>
          </w:p>
        </w:tc>
        <w:tc>
          <w:tcPr>
            <w:tcW w:type="dxa" w:w="2280"/>
            <w:shd w:fill="005A9C" w:val="clear"/>
          </w:tcPr>
          <w:p>
            <w:r/>
            <w:r>
              <w:rPr>
                <w:rFonts w:ascii="Calibri" w:hAnsi="Calibri"/>
                <w:b/>
                <w:color w:val="FFFFFF"/>
                <w:sz w:val="20"/>
              </w:rPr>
              <w:t>Target Volume</w:t>
            </w:r>
          </w:p>
        </w:tc>
      </w:tr>
      <w:tr>
        <w:tc>
          <w:tcPr>
            <w:tcW w:type="dxa" w:w="2280"/>
          </w:tcPr>
          <w:p>
            <w:r/>
            <w:r>
              <w:rPr>
                <w:rFonts w:ascii="Calibri" w:hAnsi="Calibri"/>
                <w:color w:val="212529"/>
                <w:sz w:val="20"/>
              </w:rPr>
              <w:t>Telegram Bot</w:t>
            </w:r>
          </w:p>
        </w:tc>
        <w:tc>
          <w:tcPr>
            <w:tcW w:type="dxa" w:w="2280"/>
          </w:tcPr>
          <w:p>
            <w:r/>
            <w:r>
              <w:rPr>
                <w:rFonts w:ascii="Calibri" w:hAnsi="Calibri"/>
                <w:color w:val="212529"/>
                <w:sz w:val="20"/>
              </w:rPr>
              <w:t>Primary</w:t>
            </w:r>
          </w:p>
        </w:tc>
        <w:tc>
          <w:tcPr>
            <w:tcW w:type="dxa" w:w="2280"/>
          </w:tcPr>
          <w:p>
            <w:r/>
            <w:r>
              <w:rPr>
                <w:rFonts w:ascii="Calibri" w:hAnsi="Calibri"/>
                <w:color w:val="212529"/>
                <w:sz w:val="20"/>
              </w:rPr>
              <w:t>Application submission, status tracking, notifications, citizen support</w:t>
            </w:r>
          </w:p>
        </w:tc>
        <w:tc>
          <w:tcPr>
            <w:tcW w:type="dxa" w:w="2280"/>
          </w:tcPr>
          <w:p>
            <w:r/>
            <w:r>
              <w:rPr>
                <w:rFonts w:ascii="Calibri" w:hAnsi="Calibri"/>
                <w:color w:val="212529"/>
                <w:sz w:val="20"/>
              </w:rPr>
              <w:t>Target: 70% of interactions</w:t>
            </w:r>
          </w:p>
        </w:tc>
      </w:tr>
      <w:tr>
        <w:tc>
          <w:tcPr>
            <w:tcW w:type="dxa" w:w="2280"/>
          </w:tcPr>
          <w:p>
            <w:r/>
            <w:r>
              <w:rPr>
                <w:rFonts w:ascii="Calibri" w:hAnsi="Calibri"/>
                <w:color w:val="212529"/>
                <w:sz w:val="20"/>
              </w:rPr>
              <w:t>Web Portal</w:t>
            </w:r>
          </w:p>
        </w:tc>
        <w:tc>
          <w:tcPr>
            <w:tcW w:type="dxa" w:w="2280"/>
          </w:tcPr>
          <w:p>
            <w:r/>
            <w:r>
              <w:rPr>
                <w:rFonts w:ascii="Calibri" w:hAnsi="Calibri"/>
                <w:color w:val="212529"/>
                <w:sz w:val="20"/>
              </w:rPr>
              <w:t>Secondary</w:t>
            </w:r>
          </w:p>
        </w:tc>
        <w:tc>
          <w:tcPr>
            <w:tcW w:type="dxa" w:w="2280"/>
          </w:tcPr>
          <w:p>
            <w:r/>
            <w:r>
              <w:rPr>
                <w:rFonts w:ascii="Calibri" w:hAnsi="Calibri"/>
                <w:color w:val="212529"/>
                <w:sz w:val="20"/>
              </w:rPr>
              <w:t>Detailed service information, document upload, account management</w:t>
            </w:r>
          </w:p>
        </w:tc>
        <w:tc>
          <w:tcPr>
            <w:tcW w:type="dxa" w:w="2280"/>
          </w:tcPr>
          <w:p>
            <w:r/>
            <w:r>
              <w:rPr>
                <w:rFonts w:ascii="Calibri" w:hAnsi="Calibri"/>
                <w:color w:val="212529"/>
                <w:sz w:val="20"/>
              </w:rPr>
              <w:t>Target: 30% of interactions</w:t>
            </w:r>
          </w:p>
        </w:tc>
      </w:tr>
      <w:tr>
        <w:tc>
          <w:tcPr>
            <w:tcW w:type="dxa" w:w="2280"/>
          </w:tcPr>
          <w:p>
            <w:r/>
            <w:r>
              <w:rPr>
                <w:rFonts w:ascii="Calibri" w:hAnsi="Calibri"/>
                <w:color w:val="212529"/>
                <w:sz w:val="20"/>
              </w:rPr>
              <w:t>ASAN Service Centers</w:t>
            </w:r>
          </w:p>
        </w:tc>
        <w:tc>
          <w:tcPr>
            <w:tcW w:type="dxa" w:w="2280"/>
          </w:tcPr>
          <w:p>
            <w:r/>
            <w:r>
              <w:rPr>
                <w:rFonts w:ascii="Calibri" w:hAnsi="Calibri"/>
                <w:color w:val="212529"/>
                <w:sz w:val="20"/>
              </w:rPr>
              <w:t>Exception</w:t>
            </w:r>
          </w:p>
        </w:tc>
        <w:tc>
          <w:tcPr>
            <w:tcW w:type="dxa" w:w="2280"/>
          </w:tcPr>
          <w:p>
            <w:r/>
            <w:r>
              <w:rPr>
                <w:rFonts w:ascii="Calibri" w:hAnsi="Calibri"/>
                <w:color w:val="212529"/>
                <w:sz w:val="20"/>
              </w:rPr>
              <w:t>Cases requiring physical document verification or citizen without digital access</w:t>
            </w:r>
          </w:p>
        </w:tc>
        <w:tc>
          <w:tcPr>
            <w:tcW w:type="dxa" w:w="2280"/>
          </w:tcPr>
          <w:p>
            <w:r/>
            <w:r>
              <w:rPr>
                <w:rFonts w:ascii="Calibri" w:hAnsi="Calibri"/>
                <w:color w:val="212529"/>
                <w:sz w:val="20"/>
              </w:rPr>
              <w:t>Target: Less than 10%</w:t>
            </w:r>
          </w:p>
        </w:tc>
      </w:tr>
      <w:tr>
        <w:tc>
          <w:tcPr>
            <w:tcW w:type="dxa" w:w="2280"/>
          </w:tcPr>
          <w:p>
            <w:r/>
            <w:r>
              <w:rPr>
                <w:rFonts w:ascii="Calibri" w:hAnsi="Calibri"/>
                <w:color w:val="212529"/>
                <w:sz w:val="20"/>
              </w:rPr>
              <w:t>Regional Offices</w:t>
            </w:r>
          </w:p>
        </w:tc>
        <w:tc>
          <w:tcPr>
            <w:tcW w:type="dxa" w:w="2280"/>
          </w:tcPr>
          <w:p>
            <w:r/>
            <w:r>
              <w:rPr>
                <w:rFonts w:ascii="Calibri" w:hAnsi="Calibri"/>
                <w:color w:val="212529"/>
                <w:sz w:val="20"/>
              </w:rPr>
              <w:t>Exception</w:t>
            </w:r>
          </w:p>
        </w:tc>
        <w:tc>
          <w:tcPr>
            <w:tcW w:type="dxa" w:w="2280"/>
          </w:tcPr>
          <w:p>
            <w:r/>
            <w:r>
              <w:rPr>
                <w:rFonts w:ascii="Calibri" w:hAnsi="Calibri"/>
                <w:color w:val="212529"/>
                <w:sz w:val="20"/>
              </w:rPr>
              <w:t>Complex cases requiring face-to-face consultation</w:t>
            </w:r>
          </w:p>
        </w:tc>
        <w:tc>
          <w:tcPr>
            <w:tcW w:type="dxa" w:w="2280"/>
          </w:tcPr>
          <w:p>
            <w:r/>
            <w:r>
              <w:rPr>
                <w:rFonts w:ascii="Calibri" w:hAnsi="Calibri"/>
                <w:color w:val="212529"/>
                <w:sz w:val="20"/>
              </w:rPr>
              <w:t>Target: Less than 5%</w:t>
            </w:r>
          </w:p>
        </w:tc>
      </w:tr>
    </w:tbl>
    <w:p/>
    <w:p>
      <w:pPr>
        <w:pStyle w:val="Heading2"/>
      </w:pPr>
      <w:r>
        <w:rPr>
          <w:rFonts w:ascii="Calibri" w:hAnsi="Calibri"/>
          <w:color w:val="212529"/>
          <w:sz w:val="28"/>
        </w:rPr>
        <w:t>8.2 Channel Integration</w:t>
      </w:r>
    </w:p>
    <w:p>
      <w:pPr>
        <w:spacing w:after="120" w:line="320" w:lineRule="exact"/>
        <w:jc w:val="both"/>
      </w:pPr>
      <w:r>
        <w:rPr>
          <w:rFonts w:ascii="Calibri" w:hAnsi="Calibri"/>
          <w:color w:val="212529"/>
          <w:sz w:val="22"/>
        </w:rPr>
        <w:t>All channels share a unified backend system, ensuring that citizen data and application status are consistent across channels. A citizen can start an application on the web portal and continue tracking it via the Telegram bot without any data loss. The integration layer uses a single-window architecture that connects all channels to the central LMAS system.</w:t>
      </w:r>
    </w:p>
    <w:p>
      <w:pPr>
        <w:pStyle w:val="Heading1"/>
      </w:pPr>
      <w:r>
        <w:rPr>
          <w:rFonts w:ascii="Calibri" w:hAnsi="Calibri"/>
          <w:color w:val="005A9C"/>
          <w:sz w:val="32"/>
        </w:rPr>
        <w:t>9. Multi-Agency Coordination Model</w:t>
      </w:r>
    </w:p>
    <w:p>
      <w:pPr>
        <w:pStyle w:val="Heading2"/>
      </w:pPr>
      <w:r>
        <w:rPr>
          <w:rFonts w:ascii="Calibri" w:hAnsi="Calibri"/>
          <w:color w:val="212529"/>
          <w:sz w:val="28"/>
        </w:rPr>
        <w:t>9.1 Coordination Framework</w:t>
      </w:r>
    </w:p>
    <w:p>
      <w:pPr>
        <w:spacing w:after="120" w:line="320" w:lineRule="exact"/>
        <w:jc w:val="both"/>
      </w:pPr>
      <w:r>
        <w:rPr>
          <w:rFonts w:ascii="Calibri" w:hAnsi="Calibri"/>
          <w:color w:val="212529"/>
          <w:sz w:val="22"/>
        </w:rPr>
        <w:t>The LMAS service requires data exchange and coordination with multiple government organizations. The coordination model defines how agencies interact, what data is shared and what the responsibilities of each agency are in the service delivery process. This model ensures that citizens receive a seamless service experience without needing to understand the internal organizational structure of government.</w:t>
      </w:r>
    </w:p>
    <w:p>
      <w:pPr>
        <w:pStyle w:val="Heading2"/>
      </w:pPr>
      <w:r>
        <w:rPr>
          <w:rFonts w:ascii="Calibri" w:hAnsi="Calibri"/>
          <w:color w:val="212529"/>
          <w:sz w:val="28"/>
        </w:rPr>
        <w:t>9.2 Agency Roles and Data Exchange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Agency</w:t>
            </w:r>
          </w:p>
        </w:tc>
        <w:tc>
          <w:tcPr>
            <w:tcW w:type="dxa" w:w="2280"/>
            <w:shd w:fill="005A9C" w:val="clear"/>
          </w:tcPr>
          <w:p>
            <w:r/>
            <w:r>
              <w:rPr>
                <w:rFonts w:ascii="Calibri" w:hAnsi="Calibri"/>
                <w:b/>
                <w:color w:val="FFFFFF"/>
                <w:sz w:val="20"/>
              </w:rPr>
              <w:t>Role</w:t>
            </w:r>
          </w:p>
        </w:tc>
        <w:tc>
          <w:tcPr>
            <w:tcW w:type="dxa" w:w="2280"/>
            <w:shd w:fill="005A9C" w:val="clear"/>
          </w:tcPr>
          <w:p>
            <w:r/>
            <w:r>
              <w:rPr>
                <w:rFonts w:ascii="Calibri" w:hAnsi="Calibri"/>
                <w:b/>
                <w:color w:val="FFFFFF"/>
                <w:sz w:val="20"/>
              </w:rPr>
              <w:t>Data</w:t>
            </w:r>
          </w:p>
        </w:tc>
        <w:tc>
          <w:tcPr>
            <w:tcW w:type="dxa" w:w="2280"/>
            <w:shd w:fill="005A9C" w:val="clear"/>
          </w:tcPr>
          <w:p>
            <w:r/>
            <w:r>
              <w:rPr>
                <w:rFonts w:ascii="Calibri" w:hAnsi="Calibri"/>
                <w:b/>
                <w:color w:val="FFFFFF"/>
                <w:sz w:val="20"/>
              </w:rPr>
              <w:t>Direction</w:t>
            </w:r>
          </w:p>
        </w:tc>
      </w:tr>
      <w:tr>
        <w:tc>
          <w:tcPr>
            <w:tcW w:type="dxa" w:w="2280"/>
          </w:tcPr>
          <w:p>
            <w:r/>
            <w:r>
              <w:rPr>
                <w:rFonts w:ascii="Calibri" w:hAnsi="Calibri"/>
                <w:color w:val="212529"/>
                <w:sz w:val="20"/>
              </w:rPr>
              <w:t>State Employment Agency</w:t>
            </w:r>
          </w:p>
        </w:tc>
        <w:tc>
          <w:tcPr>
            <w:tcW w:type="dxa" w:w="2280"/>
          </w:tcPr>
          <w:p>
            <w:r/>
            <w:r>
              <w:rPr>
                <w:rFonts w:ascii="Calibri" w:hAnsi="Calibri"/>
                <w:color w:val="212529"/>
                <w:sz w:val="20"/>
              </w:rPr>
              <w:t>Service owner</w:t>
            </w:r>
          </w:p>
        </w:tc>
        <w:tc>
          <w:tcPr>
            <w:tcW w:type="dxa" w:w="2280"/>
          </w:tcPr>
          <w:p>
            <w:r/>
            <w:r>
              <w:rPr>
                <w:rFonts w:ascii="Calibri" w:hAnsi="Calibri"/>
                <w:color w:val="212529"/>
                <w:sz w:val="20"/>
              </w:rPr>
              <w:t>Application data, processing status, decision results</w:t>
            </w:r>
          </w:p>
        </w:tc>
        <w:tc>
          <w:tcPr>
            <w:tcW w:type="dxa" w:w="2280"/>
          </w:tcPr>
          <w:p>
            <w:r/>
            <w:r>
              <w:rPr>
                <w:rFonts w:ascii="Calibri" w:hAnsi="Calibri"/>
                <w:color w:val="212529"/>
                <w:sz w:val="20"/>
              </w:rPr>
              <w:t>Provides and consumes</w:t>
            </w:r>
          </w:p>
        </w:tc>
      </w:tr>
      <w:tr>
        <w:tc>
          <w:tcPr>
            <w:tcW w:type="dxa" w:w="2280"/>
          </w:tcPr>
          <w:p>
            <w:r/>
            <w:r>
              <w:rPr>
                <w:rFonts w:ascii="Calibri" w:hAnsi="Calibri"/>
                <w:color w:val="212529"/>
                <w:sz w:val="20"/>
              </w:rPr>
              <w:t>Ministry of Labour</w:t>
            </w:r>
          </w:p>
        </w:tc>
        <w:tc>
          <w:tcPr>
            <w:tcW w:type="dxa" w:w="2280"/>
          </w:tcPr>
          <w:p>
            <w:r/>
            <w:r>
              <w:rPr>
                <w:rFonts w:ascii="Calibri" w:hAnsi="Calibri"/>
                <w:color w:val="212529"/>
                <w:sz w:val="20"/>
              </w:rPr>
              <w:t>Policy oversight</w:t>
            </w:r>
          </w:p>
        </w:tc>
        <w:tc>
          <w:tcPr>
            <w:tcW w:type="dxa" w:w="2280"/>
          </w:tcPr>
          <w:p>
            <w:r/>
            <w:r>
              <w:rPr>
                <w:rFonts w:ascii="Calibri" w:hAnsi="Calibri"/>
                <w:color w:val="212529"/>
                <w:sz w:val="20"/>
              </w:rPr>
              <w:t>Employment policies, regulatory requirements</w:t>
            </w:r>
          </w:p>
        </w:tc>
        <w:tc>
          <w:tcPr>
            <w:tcW w:type="dxa" w:w="2280"/>
          </w:tcPr>
          <w:p>
            <w:r/>
            <w:r>
              <w:rPr>
                <w:rFonts w:ascii="Calibri" w:hAnsi="Calibri"/>
                <w:color w:val="212529"/>
                <w:sz w:val="20"/>
              </w:rPr>
              <w:t>Provides</w:t>
            </w:r>
          </w:p>
        </w:tc>
      </w:tr>
      <w:tr>
        <w:tc>
          <w:tcPr>
            <w:tcW w:type="dxa" w:w="2280"/>
          </w:tcPr>
          <w:p>
            <w:r/>
            <w:r>
              <w:rPr>
                <w:rFonts w:ascii="Calibri" w:hAnsi="Calibri"/>
                <w:color w:val="212529"/>
                <w:sz w:val="20"/>
              </w:rPr>
              <w:t>Social Protection Fund</w:t>
            </w:r>
          </w:p>
        </w:tc>
        <w:tc>
          <w:tcPr>
            <w:tcW w:type="dxa" w:w="2280"/>
          </w:tcPr>
          <w:p>
            <w:r/>
            <w:r>
              <w:rPr>
                <w:rFonts w:ascii="Calibri" w:hAnsi="Calibri"/>
                <w:color w:val="212529"/>
                <w:sz w:val="20"/>
              </w:rPr>
              <w:t>Data provider</w:t>
            </w:r>
          </w:p>
        </w:tc>
        <w:tc>
          <w:tcPr>
            <w:tcW w:type="dxa" w:w="2280"/>
          </w:tcPr>
          <w:p>
            <w:r/>
            <w:r>
              <w:rPr>
                <w:rFonts w:ascii="Calibri" w:hAnsi="Calibri"/>
                <w:color w:val="212529"/>
                <w:sz w:val="20"/>
              </w:rPr>
              <w:t>Social insurance records, benefit payment history</w:t>
            </w:r>
          </w:p>
        </w:tc>
        <w:tc>
          <w:tcPr>
            <w:tcW w:type="dxa" w:w="2280"/>
          </w:tcPr>
          <w:p>
            <w:r/>
            <w:r>
              <w:rPr>
                <w:rFonts w:ascii="Calibri" w:hAnsi="Calibri"/>
                <w:color w:val="212529"/>
                <w:sz w:val="20"/>
              </w:rPr>
              <w:t>Provides</w:t>
            </w:r>
          </w:p>
        </w:tc>
      </w:tr>
      <w:tr>
        <w:tc>
          <w:tcPr>
            <w:tcW w:type="dxa" w:w="2280"/>
          </w:tcPr>
          <w:p>
            <w:r/>
            <w:r>
              <w:rPr>
                <w:rFonts w:ascii="Calibri" w:hAnsi="Calibri"/>
                <w:color w:val="212529"/>
                <w:sz w:val="20"/>
              </w:rPr>
              <w:t>Ministry of Education</w:t>
            </w:r>
          </w:p>
        </w:tc>
        <w:tc>
          <w:tcPr>
            <w:tcW w:type="dxa" w:w="2280"/>
          </w:tcPr>
          <w:p>
            <w:r/>
            <w:r>
              <w:rPr>
                <w:rFonts w:ascii="Calibri" w:hAnsi="Calibri"/>
                <w:color w:val="212529"/>
                <w:sz w:val="20"/>
              </w:rPr>
              <w:t>Data provider</w:t>
            </w:r>
          </w:p>
        </w:tc>
        <w:tc>
          <w:tcPr>
            <w:tcW w:type="dxa" w:w="2280"/>
          </w:tcPr>
          <w:p>
            <w:r/>
            <w:r>
              <w:rPr>
                <w:rFonts w:ascii="Calibri" w:hAnsi="Calibri"/>
                <w:color w:val="212529"/>
                <w:sz w:val="20"/>
              </w:rPr>
              <w:t>Education records, diploma verification</w:t>
            </w:r>
          </w:p>
        </w:tc>
        <w:tc>
          <w:tcPr>
            <w:tcW w:type="dxa" w:w="2280"/>
          </w:tcPr>
          <w:p>
            <w:r/>
            <w:r>
              <w:rPr>
                <w:rFonts w:ascii="Calibri" w:hAnsi="Calibri"/>
                <w:color w:val="212529"/>
                <w:sz w:val="20"/>
              </w:rPr>
              <w:t>Provides</w:t>
            </w:r>
          </w:p>
        </w:tc>
      </w:tr>
      <w:tr>
        <w:tc>
          <w:tcPr>
            <w:tcW w:type="dxa" w:w="2280"/>
          </w:tcPr>
          <w:p>
            <w:r/>
            <w:r>
              <w:rPr>
                <w:rFonts w:ascii="Calibri" w:hAnsi="Calibri"/>
                <w:color w:val="212529"/>
                <w:sz w:val="20"/>
              </w:rPr>
              <w:t>State Statistics Committee</w:t>
            </w:r>
          </w:p>
        </w:tc>
        <w:tc>
          <w:tcPr>
            <w:tcW w:type="dxa" w:w="2280"/>
          </w:tcPr>
          <w:p>
            <w:r/>
            <w:r>
              <w:rPr>
                <w:rFonts w:ascii="Calibri" w:hAnsi="Calibri"/>
                <w:color w:val="212529"/>
                <w:sz w:val="20"/>
              </w:rPr>
              <w:t>Data consumer</w:t>
            </w:r>
          </w:p>
        </w:tc>
        <w:tc>
          <w:tcPr>
            <w:tcW w:type="dxa" w:w="2280"/>
          </w:tcPr>
          <w:p>
            <w:r/>
            <w:r>
              <w:rPr>
                <w:rFonts w:ascii="Calibri" w:hAnsi="Calibri"/>
                <w:color w:val="212529"/>
                <w:sz w:val="20"/>
              </w:rPr>
              <w:t>Aggregated employment statistics</w:t>
            </w:r>
          </w:p>
        </w:tc>
        <w:tc>
          <w:tcPr>
            <w:tcW w:type="dxa" w:w="2280"/>
          </w:tcPr>
          <w:p>
            <w:r/>
            <w:r>
              <w:rPr>
                <w:rFonts w:ascii="Calibri" w:hAnsi="Calibri"/>
                <w:color w:val="212529"/>
                <w:sz w:val="20"/>
              </w:rPr>
              <w:t>Consumes</w:t>
            </w:r>
          </w:p>
        </w:tc>
      </w:tr>
      <w:tr>
        <w:tc>
          <w:tcPr>
            <w:tcW w:type="dxa" w:w="2280"/>
          </w:tcPr>
          <w:p>
            <w:r/>
            <w:r>
              <w:rPr>
                <w:rFonts w:ascii="Calibri" w:hAnsi="Calibri"/>
                <w:color w:val="212529"/>
                <w:sz w:val="20"/>
              </w:rPr>
              <w:t>Innovation Agency</w:t>
            </w:r>
          </w:p>
        </w:tc>
        <w:tc>
          <w:tcPr>
            <w:tcW w:type="dxa" w:w="2280"/>
          </w:tcPr>
          <w:p>
            <w:r/>
            <w:r>
              <w:rPr>
                <w:rFonts w:ascii="Calibri" w:hAnsi="Calibri"/>
                <w:color w:val="212529"/>
                <w:sz w:val="20"/>
              </w:rPr>
              <w:t>Standards body</w:t>
            </w:r>
          </w:p>
        </w:tc>
        <w:tc>
          <w:tcPr>
            <w:tcW w:type="dxa" w:w="2280"/>
          </w:tcPr>
          <w:p>
            <w:r/>
            <w:r>
              <w:rPr>
                <w:rFonts w:ascii="Calibri" w:hAnsi="Calibri"/>
                <w:color w:val="212529"/>
                <w:sz w:val="20"/>
              </w:rPr>
              <w:t>Digital service standards, methodology guidelines</w:t>
            </w:r>
          </w:p>
        </w:tc>
        <w:tc>
          <w:tcPr>
            <w:tcW w:type="dxa" w:w="2280"/>
          </w:tcPr>
          <w:p>
            <w:r/>
            <w:r>
              <w:rPr>
                <w:rFonts w:ascii="Calibri" w:hAnsi="Calibri"/>
                <w:color w:val="212529"/>
                <w:sz w:val="20"/>
              </w:rPr>
              <w:t>Provides</w:t>
            </w:r>
          </w:p>
        </w:tc>
      </w:tr>
    </w:tbl>
    <w:p/>
    <w:p>
      <w:pPr>
        <w:pStyle w:val="Heading2"/>
      </w:pPr>
      <w:r>
        <w:rPr>
          <w:rFonts w:ascii="Calibri" w:hAnsi="Calibri"/>
          <w:color w:val="212529"/>
          <w:sz w:val="28"/>
        </w:rPr>
        <w:t>9.3 Integration Architecture</w:t>
      </w:r>
    </w:p>
    <w:p>
      <w:pPr>
        <w:spacing w:after="120" w:line="320" w:lineRule="exact"/>
        <w:jc w:val="both"/>
      </w:pPr>
      <w:r>
        <w:rPr>
          <w:rFonts w:ascii="Calibri" w:hAnsi="Calibri"/>
          <w:color w:val="212529"/>
          <w:sz w:val="22"/>
        </w:rPr>
        <w:t>The integration architecture uses a middleware layer that connects the LMAS system with external government databases through standardized API interfaces. The middleware handles data transformation, authentication, logging and error handling. This approach allows each agency to maintain its own systems while sharing data through secure, controlled interfaces. The middleware design is based on the single-window government portal principle, where the citizen interacts with one service while the system coordinates with multiple agencies in the background.</w:t>
      </w:r>
    </w:p>
    <w:p>
      <w:pPr>
        <w:pStyle w:val="Heading1"/>
      </w:pPr>
      <w:r>
        <w:rPr>
          <w:rFonts w:ascii="Calibri" w:hAnsi="Calibri"/>
          <w:color w:val="005A9C"/>
          <w:sz w:val="32"/>
        </w:rPr>
        <w:t>10. Service Standards (SLA and KPI)</w:t>
      </w:r>
    </w:p>
    <w:p>
      <w:pPr>
        <w:pStyle w:val="Heading2"/>
      </w:pPr>
      <w:r>
        <w:rPr>
          <w:rFonts w:ascii="Calibri" w:hAnsi="Calibri"/>
          <w:color w:val="212529"/>
          <w:sz w:val="28"/>
        </w:rPr>
        <w:t>10.1 Service Level Agreements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5A9C" w:val="clear"/>
          </w:tcPr>
          <w:p>
            <w:r/>
            <w:r>
              <w:rPr>
                <w:rFonts w:ascii="Calibri" w:hAnsi="Calibri"/>
                <w:b/>
                <w:color w:val="FFFFFF"/>
                <w:sz w:val="20"/>
              </w:rPr>
              <w:t>ID</w:t>
            </w:r>
          </w:p>
        </w:tc>
        <w:tc>
          <w:tcPr>
            <w:tcW w:type="dxa" w:w="1824"/>
            <w:shd w:fill="005A9C" w:val="clear"/>
          </w:tcPr>
          <w:p>
            <w:r/>
            <w:r>
              <w:rPr>
                <w:rFonts w:ascii="Calibri" w:hAnsi="Calibri"/>
                <w:b/>
                <w:color w:val="FFFFFF"/>
                <w:sz w:val="20"/>
              </w:rPr>
              <w:t>Service</w:t>
            </w:r>
          </w:p>
        </w:tc>
        <w:tc>
          <w:tcPr>
            <w:tcW w:type="dxa" w:w="1824"/>
            <w:shd w:fill="005A9C" w:val="clear"/>
          </w:tcPr>
          <w:p>
            <w:r/>
            <w:r>
              <w:rPr>
                <w:rFonts w:ascii="Calibri" w:hAnsi="Calibri"/>
                <w:b/>
                <w:color w:val="FFFFFF"/>
                <w:sz w:val="20"/>
              </w:rPr>
              <w:t>Target</w:t>
            </w:r>
          </w:p>
        </w:tc>
        <w:tc>
          <w:tcPr>
            <w:tcW w:type="dxa" w:w="1824"/>
            <w:shd w:fill="005A9C" w:val="clear"/>
          </w:tcPr>
          <w:p>
            <w:r/>
            <w:r>
              <w:rPr>
                <w:rFonts w:ascii="Calibri" w:hAnsi="Calibri"/>
                <w:b/>
                <w:color w:val="FFFFFF"/>
                <w:sz w:val="20"/>
              </w:rPr>
              <w:t>Compliance</w:t>
            </w:r>
          </w:p>
        </w:tc>
        <w:tc>
          <w:tcPr>
            <w:tcW w:type="dxa" w:w="1824"/>
            <w:shd w:fill="005A9C" w:val="clear"/>
          </w:tcPr>
          <w:p>
            <w:r/>
            <w:r>
              <w:rPr>
                <w:rFonts w:ascii="Calibri" w:hAnsi="Calibri"/>
                <w:b/>
                <w:color w:val="FFFFFF"/>
                <w:sz w:val="20"/>
              </w:rPr>
              <w:t>Notes</w:t>
            </w:r>
          </w:p>
        </w:tc>
      </w:tr>
      <w:tr>
        <w:tc>
          <w:tcPr>
            <w:tcW w:type="dxa" w:w="1824"/>
          </w:tcPr>
          <w:p>
            <w:r/>
            <w:r>
              <w:rPr>
                <w:rFonts w:ascii="Calibri" w:hAnsi="Calibri"/>
                <w:color w:val="212529"/>
                <w:sz w:val="20"/>
              </w:rPr>
              <w:t>SLA-01</w:t>
            </w:r>
          </w:p>
        </w:tc>
        <w:tc>
          <w:tcPr>
            <w:tcW w:type="dxa" w:w="1824"/>
          </w:tcPr>
          <w:p>
            <w:r/>
            <w:r>
              <w:rPr>
                <w:rFonts w:ascii="Calibri" w:hAnsi="Calibri"/>
                <w:color w:val="212529"/>
                <w:sz w:val="20"/>
              </w:rPr>
              <w:t>Application acknowledgment</w:t>
            </w:r>
          </w:p>
        </w:tc>
        <w:tc>
          <w:tcPr>
            <w:tcW w:type="dxa" w:w="1824"/>
          </w:tcPr>
          <w:p>
            <w:r/>
            <w:r>
              <w:rPr>
                <w:rFonts w:ascii="Calibri" w:hAnsi="Calibri"/>
                <w:color w:val="212529"/>
                <w:sz w:val="20"/>
              </w:rPr>
              <w:t>Immediate (automated)</w:t>
            </w:r>
          </w:p>
        </w:tc>
        <w:tc>
          <w:tcPr>
            <w:tcW w:type="dxa" w:w="1824"/>
          </w:tcPr>
          <w:p>
            <w:r/>
            <w:r>
              <w:rPr>
                <w:rFonts w:ascii="Calibri" w:hAnsi="Calibri"/>
                <w:color w:val="212529"/>
                <w:sz w:val="20"/>
              </w:rPr>
              <w:t>100%</w:t>
            </w:r>
          </w:p>
        </w:tc>
        <w:tc>
          <w:tcPr>
            <w:tcW w:type="dxa" w:w="1824"/>
          </w:tcPr>
          <w:p>
            <w:r/>
            <w:r>
              <w:rPr>
                <w:rFonts w:ascii="Calibri" w:hAnsi="Calibri"/>
                <w:color w:val="212529"/>
                <w:sz w:val="20"/>
              </w:rPr>
              <w:t>System sends confirmation within 30 seconds</w:t>
            </w:r>
          </w:p>
        </w:tc>
      </w:tr>
      <w:tr>
        <w:tc>
          <w:tcPr>
            <w:tcW w:type="dxa" w:w="1824"/>
          </w:tcPr>
          <w:p>
            <w:r/>
            <w:r>
              <w:rPr>
                <w:rFonts w:ascii="Calibri" w:hAnsi="Calibri"/>
                <w:color w:val="212529"/>
                <w:sz w:val="20"/>
              </w:rPr>
              <w:t>SLA-02</w:t>
            </w:r>
          </w:p>
        </w:tc>
        <w:tc>
          <w:tcPr>
            <w:tcW w:type="dxa" w:w="1824"/>
          </w:tcPr>
          <w:p>
            <w:r/>
            <w:r>
              <w:rPr>
                <w:rFonts w:ascii="Calibri" w:hAnsi="Calibri"/>
                <w:color w:val="212529"/>
                <w:sz w:val="20"/>
              </w:rPr>
              <w:t>Document verification</w:t>
            </w:r>
          </w:p>
        </w:tc>
        <w:tc>
          <w:tcPr>
            <w:tcW w:type="dxa" w:w="1824"/>
          </w:tcPr>
          <w:p>
            <w:r/>
            <w:r>
              <w:rPr>
                <w:rFonts w:ascii="Calibri" w:hAnsi="Calibri"/>
                <w:color w:val="212529"/>
                <w:sz w:val="20"/>
              </w:rPr>
              <w:t>1 business day</w:t>
            </w:r>
          </w:p>
        </w:tc>
        <w:tc>
          <w:tcPr>
            <w:tcW w:type="dxa" w:w="1824"/>
          </w:tcPr>
          <w:p>
            <w:r/>
            <w:r>
              <w:rPr>
                <w:rFonts w:ascii="Calibri" w:hAnsi="Calibri"/>
                <w:color w:val="212529"/>
                <w:sz w:val="20"/>
              </w:rPr>
              <w:t>95%</w:t>
            </w:r>
          </w:p>
        </w:tc>
        <w:tc>
          <w:tcPr>
            <w:tcW w:type="dxa" w:w="1824"/>
          </w:tcPr>
          <w:p>
            <w:r/>
            <w:r>
              <w:rPr>
                <w:rFonts w:ascii="Calibri" w:hAnsi="Calibri"/>
                <w:color w:val="212529"/>
                <w:sz w:val="20"/>
              </w:rPr>
              <w:t>Automatic verification with government databases</w:t>
            </w:r>
          </w:p>
        </w:tc>
      </w:tr>
      <w:tr>
        <w:tc>
          <w:tcPr>
            <w:tcW w:type="dxa" w:w="1824"/>
          </w:tcPr>
          <w:p>
            <w:r/>
            <w:r>
              <w:rPr>
                <w:rFonts w:ascii="Calibri" w:hAnsi="Calibri"/>
                <w:color w:val="212529"/>
                <w:sz w:val="20"/>
              </w:rPr>
              <w:t>SLA-03</w:t>
            </w:r>
          </w:p>
        </w:tc>
        <w:tc>
          <w:tcPr>
            <w:tcW w:type="dxa" w:w="1824"/>
          </w:tcPr>
          <w:p>
            <w:r/>
            <w:r>
              <w:rPr>
                <w:rFonts w:ascii="Calibri" w:hAnsi="Calibri"/>
                <w:color w:val="212529"/>
                <w:sz w:val="20"/>
              </w:rPr>
              <w:t>Application processing</w:t>
            </w:r>
          </w:p>
        </w:tc>
        <w:tc>
          <w:tcPr>
            <w:tcW w:type="dxa" w:w="1824"/>
          </w:tcPr>
          <w:p>
            <w:r/>
            <w:r>
              <w:rPr>
                <w:rFonts w:ascii="Calibri" w:hAnsi="Calibri"/>
                <w:color w:val="212529"/>
                <w:sz w:val="20"/>
              </w:rPr>
              <w:t>5 business days</w:t>
            </w:r>
          </w:p>
        </w:tc>
        <w:tc>
          <w:tcPr>
            <w:tcW w:type="dxa" w:w="1824"/>
          </w:tcPr>
          <w:p>
            <w:r/>
            <w:r>
              <w:rPr>
                <w:rFonts w:ascii="Calibri" w:hAnsi="Calibri"/>
                <w:color w:val="212529"/>
                <w:sz w:val="20"/>
              </w:rPr>
              <w:t>90%</w:t>
            </w:r>
          </w:p>
        </w:tc>
        <w:tc>
          <w:tcPr>
            <w:tcW w:type="dxa" w:w="1824"/>
          </w:tcPr>
          <w:p>
            <w:r/>
            <w:r>
              <w:rPr>
                <w:rFonts w:ascii="Calibri" w:hAnsi="Calibri"/>
                <w:color w:val="212529"/>
                <w:sz w:val="20"/>
              </w:rPr>
              <w:t>Full review and decision by assigned officer</w:t>
            </w:r>
          </w:p>
        </w:tc>
      </w:tr>
      <w:tr>
        <w:tc>
          <w:tcPr>
            <w:tcW w:type="dxa" w:w="1824"/>
          </w:tcPr>
          <w:p>
            <w:r/>
            <w:r>
              <w:rPr>
                <w:rFonts w:ascii="Calibri" w:hAnsi="Calibri"/>
                <w:color w:val="212529"/>
                <w:sz w:val="20"/>
              </w:rPr>
              <w:t>SLA-04</w:t>
            </w:r>
          </w:p>
        </w:tc>
        <w:tc>
          <w:tcPr>
            <w:tcW w:type="dxa" w:w="1824"/>
          </w:tcPr>
          <w:p>
            <w:r/>
            <w:r>
              <w:rPr>
                <w:rFonts w:ascii="Calibri" w:hAnsi="Calibri"/>
                <w:color w:val="212529"/>
                <w:sz w:val="20"/>
              </w:rPr>
              <w:t>Status notification</w:t>
            </w:r>
          </w:p>
        </w:tc>
        <w:tc>
          <w:tcPr>
            <w:tcW w:type="dxa" w:w="1824"/>
          </w:tcPr>
          <w:p>
            <w:r/>
            <w:r>
              <w:rPr>
                <w:rFonts w:ascii="Calibri" w:hAnsi="Calibri"/>
                <w:color w:val="212529"/>
                <w:sz w:val="20"/>
              </w:rPr>
              <w:t>Within 2 hours of status change</w:t>
            </w:r>
          </w:p>
        </w:tc>
        <w:tc>
          <w:tcPr>
            <w:tcW w:type="dxa" w:w="1824"/>
          </w:tcPr>
          <w:p>
            <w:r/>
            <w:r>
              <w:rPr>
                <w:rFonts w:ascii="Calibri" w:hAnsi="Calibri"/>
                <w:color w:val="212529"/>
                <w:sz w:val="20"/>
              </w:rPr>
              <w:t>99%</w:t>
            </w:r>
          </w:p>
        </w:tc>
        <w:tc>
          <w:tcPr>
            <w:tcW w:type="dxa" w:w="1824"/>
          </w:tcPr>
          <w:p>
            <w:r/>
            <w:r>
              <w:rPr>
                <w:rFonts w:ascii="Calibri" w:hAnsi="Calibri"/>
                <w:color w:val="212529"/>
                <w:sz w:val="20"/>
              </w:rPr>
              <w:t>Automated push notification via Telegram</w:t>
            </w:r>
          </w:p>
        </w:tc>
      </w:tr>
      <w:tr>
        <w:tc>
          <w:tcPr>
            <w:tcW w:type="dxa" w:w="1824"/>
          </w:tcPr>
          <w:p>
            <w:r/>
            <w:r>
              <w:rPr>
                <w:rFonts w:ascii="Calibri" w:hAnsi="Calibri"/>
                <w:color w:val="212529"/>
                <w:sz w:val="20"/>
              </w:rPr>
              <w:t>SLA-05</w:t>
            </w:r>
          </w:p>
        </w:tc>
        <w:tc>
          <w:tcPr>
            <w:tcW w:type="dxa" w:w="1824"/>
          </w:tcPr>
          <w:p>
            <w:r/>
            <w:r>
              <w:rPr>
                <w:rFonts w:ascii="Calibri" w:hAnsi="Calibri"/>
                <w:color w:val="212529"/>
                <w:sz w:val="20"/>
              </w:rPr>
              <w:t>Decision delivery</w:t>
            </w:r>
          </w:p>
        </w:tc>
        <w:tc>
          <w:tcPr>
            <w:tcW w:type="dxa" w:w="1824"/>
          </w:tcPr>
          <w:p>
            <w:r/>
            <w:r>
              <w:rPr>
                <w:rFonts w:ascii="Calibri" w:hAnsi="Calibri"/>
                <w:color w:val="212529"/>
                <w:sz w:val="20"/>
              </w:rPr>
              <w:t>1 business day after decision</w:t>
            </w:r>
          </w:p>
        </w:tc>
        <w:tc>
          <w:tcPr>
            <w:tcW w:type="dxa" w:w="1824"/>
          </w:tcPr>
          <w:p>
            <w:r/>
            <w:r>
              <w:rPr>
                <w:rFonts w:ascii="Calibri" w:hAnsi="Calibri"/>
                <w:color w:val="212529"/>
                <w:sz w:val="20"/>
              </w:rPr>
              <w:t>95%</w:t>
            </w:r>
          </w:p>
        </w:tc>
        <w:tc>
          <w:tcPr>
            <w:tcW w:type="dxa" w:w="1824"/>
          </w:tcPr>
          <w:p>
            <w:r/>
            <w:r>
              <w:rPr>
                <w:rFonts w:ascii="Calibri" w:hAnsi="Calibri"/>
                <w:color w:val="212529"/>
                <w:sz w:val="20"/>
              </w:rPr>
              <w:t>Digital delivery with QR verification</w:t>
            </w:r>
          </w:p>
        </w:tc>
      </w:tr>
      <w:tr>
        <w:tc>
          <w:tcPr>
            <w:tcW w:type="dxa" w:w="1824"/>
          </w:tcPr>
          <w:p>
            <w:r/>
            <w:r>
              <w:rPr>
                <w:rFonts w:ascii="Calibri" w:hAnsi="Calibri"/>
                <w:color w:val="212529"/>
                <w:sz w:val="20"/>
              </w:rPr>
              <w:t>SLA-06</w:t>
            </w:r>
          </w:p>
        </w:tc>
        <w:tc>
          <w:tcPr>
            <w:tcW w:type="dxa" w:w="1824"/>
          </w:tcPr>
          <w:p>
            <w:r/>
            <w:r>
              <w:rPr>
                <w:rFonts w:ascii="Calibri" w:hAnsi="Calibri"/>
                <w:color w:val="212529"/>
                <w:sz w:val="20"/>
              </w:rPr>
              <w:t>System availability</w:t>
            </w:r>
          </w:p>
        </w:tc>
        <w:tc>
          <w:tcPr>
            <w:tcW w:type="dxa" w:w="1824"/>
          </w:tcPr>
          <w:p>
            <w:r/>
            <w:r>
              <w:rPr>
                <w:rFonts w:ascii="Calibri" w:hAnsi="Calibri"/>
                <w:color w:val="212529"/>
                <w:sz w:val="20"/>
              </w:rPr>
              <w:t>99.5% uptime</w:t>
            </w:r>
          </w:p>
        </w:tc>
        <w:tc>
          <w:tcPr>
            <w:tcW w:type="dxa" w:w="1824"/>
          </w:tcPr>
          <w:p>
            <w:r/>
            <w:r>
              <w:rPr>
                <w:rFonts w:ascii="Calibri" w:hAnsi="Calibri"/>
                <w:color w:val="212529"/>
                <w:sz w:val="20"/>
              </w:rPr>
              <w:t>99.5%</w:t>
            </w:r>
          </w:p>
        </w:tc>
        <w:tc>
          <w:tcPr>
            <w:tcW w:type="dxa" w:w="1824"/>
          </w:tcPr>
          <w:p>
            <w:r/>
            <w:r>
              <w:rPr>
                <w:rFonts w:ascii="Calibri" w:hAnsi="Calibri"/>
                <w:color w:val="212529"/>
                <w:sz w:val="20"/>
              </w:rPr>
              <w:t>Planned maintenance outside business hours</w:t>
            </w:r>
          </w:p>
        </w:tc>
      </w:tr>
    </w:tbl>
    <w:p/>
    <w:p>
      <w:pPr>
        <w:pStyle w:val="Heading2"/>
      </w:pPr>
      <w:r>
        <w:rPr>
          <w:rFonts w:ascii="Calibri" w:hAnsi="Calibri"/>
          <w:color w:val="212529"/>
          <w:sz w:val="28"/>
        </w:rPr>
        <w:t>10.2 Key Performance Indicators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5A9C" w:val="clear"/>
          </w:tcPr>
          <w:p>
            <w:r/>
            <w:r>
              <w:rPr>
                <w:rFonts w:ascii="Calibri" w:hAnsi="Calibri"/>
                <w:b/>
                <w:color w:val="FFFFFF"/>
                <w:sz w:val="20"/>
              </w:rPr>
              <w:t>ID</w:t>
            </w:r>
          </w:p>
        </w:tc>
        <w:tc>
          <w:tcPr>
            <w:tcW w:type="dxa" w:w="1824"/>
            <w:shd w:fill="005A9C" w:val="clear"/>
          </w:tcPr>
          <w:p>
            <w:r/>
            <w:r>
              <w:rPr>
                <w:rFonts w:ascii="Calibri" w:hAnsi="Calibri"/>
                <w:b/>
                <w:color w:val="FFFFFF"/>
                <w:sz w:val="20"/>
              </w:rPr>
              <w:t>KPI</w:t>
            </w:r>
          </w:p>
        </w:tc>
        <w:tc>
          <w:tcPr>
            <w:tcW w:type="dxa" w:w="1824"/>
            <w:shd w:fill="005A9C" w:val="clear"/>
          </w:tcPr>
          <w:p>
            <w:r/>
            <w:r>
              <w:rPr>
                <w:rFonts w:ascii="Calibri" w:hAnsi="Calibri"/>
                <w:b/>
                <w:color w:val="FFFFFF"/>
                <w:sz w:val="20"/>
              </w:rPr>
              <w:t>Description</w:t>
            </w:r>
          </w:p>
        </w:tc>
        <w:tc>
          <w:tcPr>
            <w:tcW w:type="dxa" w:w="1824"/>
            <w:shd w:fill="005A9C" w:val="clear"/>
          </w:tcPr>
          <w:p>
            <w:r/>
            <w:r>
              <w:rPr>
                <w:rFonts w:ascii="Calibri" w:hAnsi="Calibri"/>
                <w:b/>
                <w:color w:val="FFFFFF"/>
                <w:sz w:val="20"/>
              </w:rPr>
              <w:t>Target</w:t>
            </w:r>
          </w:p>
        </w:tc>
        <w:tc>
          <w:tcPr>
            <w:tcW w:type="dxa" w:w="1824"/>
            <w:shd w:fill="005A9C" w:val="clear"/>
          </w:tcPr>
          <w:p>
            <w:r/>
            <w:r>
              <w:rPr>
                <w:rFonts w:ascii="Calibri" w:hAnsi="Calibri"/>
                <w:b/>
                <w:color w:val="FFFFFF"/>
                <w:sz w:val="20"/>
              </w:rPr>
              <w:t>Frequency</w:t>
            </w:r>
          </w:p>
        </w:tc>
      </w:tr>
      <w:tr>
        <w:tc>
          <w:tcPr>
            <w:tcW w:type="dxa" w:w="1824"/>
          </w:tcPr>
          <w:p>
            <w:r/>
            <w:r>
              <w:rPr>
                <w:rFonts w:ascii="Calibri" w:hAnsi="Calibri"/>
                <w:color w:val="212529"/>
                <w:sz w:val="20"/>
              </w:rPr>
              <w:t>KPI-01</w:t>
            </w:r>
          </w:p>
        </w:tc>
        <w:tc>
          <w:tcPr>
            <w:tcW w:type="dxa" w:w="1824"/>
          </w:tcPr>
          <w:p>
            <w:r/>
            <w:r>
              <w:rPr>
                <w:rFonts w:ascii="Calibri" w:hAnsi="Calibri"/>
                <w:color w:val="212529"/>
                <w:sz w:val="20"/>
              </w:rPr>
              <w:t>Digital channel adoption</w:t>
            </w:r>
          </w:p>
        </w:tc>
        <w:tc>
          <w:tcPr>
            <w:tcW w:type="dxa" w:w="1824"/>
          </w:tcPr>
          <w:p>
            <w:r/>
            <w:r>
              <w:rPr>
                <w:rFonts w:ascii="Calibri" w:hAnsi="Calibri"/>
                <w:color w:val="212529"/>
                <w:sz w:val="20"/>
              </w:rPr>
              <w:t>Percentage of citizens using digital channels</w:t>
            </w:r>
          </w:p>
        </w:tc>
        <w:tc>
          <w:tcPr>
            <w:tcW w:type="dxa" w:w="1824"/>
          </w:tcPr>
          <w:p>
            <w:r/>
            <w:r>
              <w:rPr>
                <w:rFonts w:ascii="Calibri" w:hAnsi="Calibri"/>
                <w:color w:val="212529"/>
                <w:sz w:val="20"/>
              </w:rPr>
              <w:t>60%</w:t>
            </w:r>
          </w:p>
        </w:tc>
        <w:tc>
          <w:tcPr>
            <w:tcW w:type="dxa" w:w="1824"/>
          </w:tcPr>
          <w:p>
            <w:r/>
            <w:r>
              <w:rPr>
                <w:rFonts w:ascii="Calibri" w:hAnsi="Calibri"/>
                <w:color w:val="212529"/>
                <w:sz w:val="20"/>
              </w:rPr>
              <w:t>Monthly</w:t>
            </w:r>
          </w:p>
        </w:tc>
      </w:tr>
      <w:tr>
        <w:tc>
          <w:tcPr>
            <w:tcW w:type="dxa" w:w="1824"/>
          </w:tcPr>
          <w:p>
            <w:r/>
            <w:r>
              <w:rPr>
                <w:rFonts w:ascii="Calibri" w:hAnsi="Calibri"/>
                <w:color w:val="212529"/>
                <w:sz w:val="20"/>
              </w:rPr>
              <w:t>KPI-02</w:t>
            </w:r>
          </w:p>
        </w:tc>
        <w:tc>
          <w:tcPr>
            <w:tcW w:type="dxa" w:w="1824"/>
          </w:tcPr>
          <w:p>
            <w:r/>
            <w:r>
              <w:rPr>
                <w:rFonts w:ascii="Calibri" w:hAnsi="Calibri"/>
                <w:color w:val="212529"/>
                <w:sz w:val="20"/>
              </w:rPr>
              <w:t>First-contact resolution</w:t>
            </w:r>
          </w:p>
        </w:tc>
        <w:tc>
          <w:tcPr>
            <w:tcW w:type="dxa" w:w="1824"/>
          </w:tcPr>
          <w:p>
            <w:r/>
            <w:r>
              <w:rPr>
                <w:rFonts w:ascii="Calibri" w:hAnsi="Calibri"/>
                <w:color w:val="212529"/>
                <w:sz w:val="20"/>
              </w:rPr>
              <w:t>Citizen issue resolved in first interaction</w:t>
            </w:r>
          </w:p>
        </w:tc>
        <w:tc>
          <w:tcPr>
            <w:tcW w:type="dxa" w:w="1824"/>
          </w:tcPr>
          <w:p>
            <w:r/>
            <w:r>
              <w:rPr>
                <w:rFonts w:ascii="Calibri" w:hAnsi="Calibri"/>
                <w:color w:val="212529"/>
                <w:sz w:val="20"/>
              </w:rPr>
              <w:t>80%</w:t>
            </w:r>
          </w:p>
        </w:tc>
        <w:tc>
          <w:tcPr>
            <w:tcW w:type="dxa" w:w="1824"/>
          </w:tcPr>
          <w:p>
            <w:r/>
            <w:r>
              <w:rPr>
                <w:rFonts w:ascii="Calibri" w:hAnsi="Calibri"/>
                <w:color w:val="212529"/>
                <w:sz w:val="20"/>
              </w:rPr>
              <w:t>Monthly</w:t>
            </w:r>
          </w:p>
        </w:tc>
      </w:tr>
      <w:tr>
        <w:tc>
          <w:tcPr>
            <w:tcW w:type="dxa" w:w="1824"/>
          </w:tcPr>
          <w:p>
            <w:r/>
            <w:r>
              <w:rPr>
                <w:rFonts w:ascii="Calibri" w:hAnsi="Calibri"/>
                <w:color w:val="212529"/>
                <w:sz w:val="20"/>
              </w:rPr>
              <w:t>KPI-03</w:t>
            </w:r>
          </w:p>
        </w:tc>
        <w:tc>
          <w:tcPr>
            <w:tcW w:type="dxa" w:w="1824"/>
          </w:tcPr>
          <w:p>
            <w:r/>
            <w:r>
              <w:rPr>
                <w:rFonts w:ascii="Calibri" w:hAnsi="Calibri"/>
                <w:color w:val="212529"/>
                <w:sz w:val="20"/>
              </w:rPr>
              <w:t>Application completion rate</w:t>
            </w:r>
          </w:p>
        </w:tc>
        <w:tc>
          <w:tcPr>
            <w:tcW w:type="dxa" w:w="1824"/>
          </w:tcPr>
          <w:p>
            <w:r/>
            <w:r>
              <w:rPr>
                <w:rFonts w:ascii="Calibri" w:hAnsi="Calibri"/>
                <w:color w:val="212529"/>
                <w:sz w:val="20"/>
              </w:rPr>
              <w:t>Applications submitted without abandonment</w:t>
            </w:r>
          </w:p>
        </w:tc>
        <w:tc>
          <w:tcPr>
            <w:tcW w:type="dxa" w:w="1824"/>
          </w:tcPr>
          <w:p>
            <w:r/>
            <w:r>
              <w:rPr>
                <w:rFonts w:ascii="Calibri" w:hAnsi="Calibri"/>
                <w:color w:val="212529"/>
                <w:sz w:val="20"/>
              </w:rPr>
              <w:t>85%</w:t>
            </w:r>
          </w:p>
        </w:tc>
        <w:tc>
          <w:tcPr>
            <w:tcW w:type="dxa" w:w="1824"/>
          </w:tcPr>
          <w:p>
            <w:r/>
            <w:r>
              <w:rPr>
                <w:rFonts w:ascii="Calibri" w:hAnsi="Calibri"/>
                <w:color w:val="212529"/>
                <w:sz w:val="20"/>
              </w:rPr>
              <w:t>Weekly</w:t>
            </w:r>
          </w:p>
        </w:tc>
      </w:tr>
      <w:tr>
        <w:tc>
          <w:tcPr>
            <w:tcW w:type="dxa" w:w="1824"/>
          </w:tcPr>
          <w:p>
            <w:r/>
            <w:r>
              <w:rPr>
                <w:rFonts w:ascii="Calibri" w:hAnsi="Calibri"/>
                <w:color w:val="212529"/>
                <w:sz w:val="20"/>
              </w:rPr>
              <w:t>KPI-04</w:t>
            </w:r>
          </w:p>
        </w:tc>
        <w:tc>
          <w:tcPr>
            <w:tcW w:type="dxa" w:w="1824"/>
          </w:tcPr>
          <w:p>
            <w:r/>
            <w:r>
              <w:rPr>
                <w:rFonts w:ascii="Calibri" w:hAnsi="Calibri"/>
                <w:color w:val="212529"/>
                <w:sz w:val="20"/>
              </w:rPr>
              <w:t>Average processing time</w:t>
            </w:r>
          </w:p>
        </w:tc>
        <w:tc>
          <w:tcPr>
            <w:tcW w:type="dxa" w:w="1824"/>
          </w:tcPr>
          <w:p>
            <w:r/>
            <w:r>
              <w:rPr>
                <w:rFonts w:ascii="Calibri" w:hAnsi="Calibri"/>
                <w:color w:val="212529"/>
                <w:sz w:val="20"/>
              </w:rPr>
              <w:t>Mean days from submission to decision</w:t>
            </w:r>
          </w:p>
        </w:tc>
        <w:tc>
          <w:tcPr>
            <w:tcW w:type="dxa" w:w="1824"/>
          </w:tcPr>
          <w:p>
            <w:r/>
            <w:r>
              <w:rPr>
                <w:rFonts w:ascii="Calibri" w:hAnsi="Calibri"/>
                <w:color w:val="212529"/>
                <w:sz w:val="20"/>
              </w:rPr>
              <w:t>5 days</w:t>
            </w:r>
          </w:p>
        </w:tc>
        <w:tc>
          <w:tcPr>
            <w:tcW w:type="dxa" w:w="1824"/>
          </w:tcPr>
          <w:p>
            <w:r/>
            <w:r>
              <w:rPr>
                <w:rFonts w:ascii="Calibri" w:hAnsi="Calibri"/>
                <w:color w:val="212529"/>
                <w:sz w:val="20"/>
              </w:rPr>
              <w:t>Weekly</w:t>
            </w:r>
          </w:p>
        </w:tc>
      </w:tr>
      <w:tr>
        <w:tc>
          <w:tcPr>
            <w:tcW w:type="dxa" w:w="1824"/>
          </w:tcPr>
          <w:p>
            <w:r/>
            <w:r>
              <w:rPr>
                <w:rFonts w:ascii="Calibri" w:hAnsi="Calibri"/>
                <w:color w:val="212529"/>
                <w:sz w:val="20"/>
              </w:rPr>
              <w:t>KPI-05</w:t>
            </w:r>
          </w:p>
        </w:tc>
        <w:tc>
          <w:tcPr>
            <w:tcW w:type="dxa" w:w="1824"/>
          </w:tcPr>
          <w:p>
            <w:r/>
            <w:r>
              <w:rPr>
                <w:rFonts w:ascii="Calibri" w:hAnsi="Calibri"/>
                <w:color w:val="212529"/>
                <w:sz w:val="20"/>
              </w:rPr>
              <w:t>Citizen satisfaction (CSAT)</w:t>
            </w:r>
          </w:p>
        </w:tc>
        <w:tc>
          <w:tcPr>
            <w:tcW w:type="dxa" w:w="1824"/>
          </w:tcPr>
          <w:p>
            <w:r/>
            <w:r>
              <w:rPr>
                <w:rFonts w:ascii="Calibri" w:hAnsi="Calibri"/>
                <w:color w:val="212529"/>
                <w:sz w:val="20"/>
              </w:rPr>
              <w:t>Post-service survey average rating</w:t>
            </w:r>
          </w:p>
        </w:tc>
        <w:tc>
          <w:tcPr>
            <w:tcW w:type="dxa" w:w="1824"/>
          </w:tcPr>
          <w:p>
            <w:r/>
            <w:r>
              <w:rPr>
                <w:rFonts w:ascii="Calibri" w:hAnsi="Calibri"/>
                <w:color w:val="212529"/>
                <w:sz w:val="20"/>
              </w:rPr>
              <w:t>4.0/5.0</w:t>
            </w:r>
          </w:p>
        </w:tc>
        <w:tc>
          <w:tcPr>
            <w:tcW w:type="dxa" w:w="1824"/>
          </w:tcPr>
          <w:p>
            <w:r/>
            <w:r>
              <w:rPr>
                <w:rFonts w:ascii="Calibri" w:hAnsi="Calibri"/>
                <w:color w:val="212529"/>
                <w:sz w:val="20"/>
              </w:rPr>
              <w:t>Monthly</w:t>
            </w:r>
          </w:p>
        </w:tc>
      </w:tr>
      <w:tr>
        <w:tc>
          <w:tcPr>
            <w:tcW w:type="dxa" w:w="1824"/>
          </w:tcPr>
          <w:p>
            <w:r/>
            <w:r>
              <w:rPr>
                <w:rFonts w:ascii="Calibri" w:hAnsi="Calibri"/>
                <w:color w:val="212529"/>
                <w:sz w:val="20"/>
              </w:rPr>
              <w:t>KPI-06</w:t>
            </w:r>
          </w:p>
        </w:tc>
        <w:tc>
          <w:tcPr>
            <w:tcW w:type="dxa" w:w="1824"/>
          </w:tcPr>
          <w:p>
            <w:r/>
            <w:r>
              <w:rPr>
                <w:rFonts w:ascii="Calibri" w:hAnsi="Calibri"/>
                <w:color w:val="212529"/>
                <w:sz w:val="20"/>
              </w:rPr>
              <w:t>SLA compliance</w:t>
            </w:r>
          </w:p>
        </w:tc>
        <w:tc>
          <w:tcPr>
            <w:tcW w:type="dxa" w:w="1824"/>
          </w:tcPr>
          <w:p>
            <w:r/>
            <w:r>
              <w:rPr>
                <w:rFonts w:ascii="Calibri" w:hAnsi="Calibri"/>
                <w:color w:val="212529"/>
                <w:sz w:val="20"/>
              </w:rPr>
              <w:t>Percentage of SLAs met within target</w:t>
            </w:r>
          </w:p>
        </w:tc>
        <w:tc>
          <w:tcPr>
            <w:tcW w:type="dxa" w:w="1824"/>
          </w:tcPr>
          <w:p>
            <w:r/>
            <w:r>
              <w:rPr>
                <w:rFonts w:ascii="Calibri" w:hAnsi="Calibri"/>
                <w:color w:val="212529"/>
                <w:sz w:val="20"/>
              </w:rPr>
              <w:t>90%</w:t>
            </w:r>
          </w:p>
        </w:tc>
        <w:tc>
          <w:tcPr>
            <w:tcW w:type="dxa" w:w="1824"/>
          </w:tcPr>
          <w:p>
            <w:r/>
            <w:r>
              <w:rPr>
                <w:rFonts w:ascii="Calibri" w:hAnsi="Calibri"/>
                <w:color w:val="212529"/>
                <w:sz w:val="20"/>
              </w:rPr>
              <w:t>Monthly</w:t>
            </w:r>
          </w:p>
        </w:tc>
      </w:tr>
      <w:tr>
        <w:tc>
          <w:tcPr>
            <w:tcW w:type="dxa" w:w="1824"/>
          </w:tcPr>
          <w:p>
            <w:r/>
            <w:r>
              <w:rPr>
                <w:rFonts w:ascii="Calibri" w:hAnsi="Calibri"/>
                <w:color w:val="212529"/>
                <w:sz w:val="20"/>
              </w:rPr>
              <w:t>KPI-07</w:t>
            </w:r>
          </w:p>
        </w:tc>
        <w:tc>
          <w:tcPr>
            <w:tcW w:type="dxa" w:w="1824"/>
          </w:tcPr>
          <w:p>
            <w:r/>
            <w:r>
              <w:rPr>
                <w:rFonts w:ascii="Calibri" w:hAnsi="Calibri"/>
                <w:color w:val="212529"/>
                <w:sz w:val="20"/>
              </w:rPr>
              <w:t>Error rate</w:t>
            </w:r>
          </w:p>
        </w:tc>
        <w:tc>
          <w:tcPr>
            <w:tcW w:type="dxa" w:w="1824"/>
          </w:tcPr>
          <w:p>
            <w:r/>
            <w:r>
              <w:rPr>
                <w:rFonts w:ascii="Calibri" w:hAnsi="Calibri"/>
                <w:color w:val="212529"/>
                <w:sz w:val="20"/>
              </w:rPr>
              <w:t>Percentage of applications with processing errors</w:t>
            </w:r>
          </w:p>
        </w:tc>
        <w:tc>
          <w:tcPr>
            <w:tcW w:type="dxa" w:w="1824"/>
          </w:tcPr>
          <w:p>
            <w:r/>
            <w:r>
              <w:rPr>
                <w:rFonts w:ascii="Calibri" w:hAnsi="Calibri"/>
                <w:color w:val="212529"/>
                <w:sz w:val="20"/>
              </w:rPr>
              <w:t>Less than 3%</w:t>
            </w:r>
          </w:p>
        </w:tc>
        <w:tc>
          <w:tcPr>
            <w:tcW w:type="dxa" w:w="1824"/>
          </w:tcPr>
          <w:p>
            <w:r/>
            <w:r>
              <w:rPr>
                <w:rFonts w:ascii="Calibri" w:hAnsi="Calibri"/>
                <w:color w:val="212529"/>
                <w:sz w:val="20"/>
              </w:rPr>
              <w:t>Weekly</w:t>
            </w:r>
          </w:p>
        </w:tc>
      </w:tr>
    </w:tbl>
    <w:p/>
    <w:p>
      <w:pPr>
        <w:pStyle w:val="Heading2"/>
      </w:pPr>
      <w:r>
        <w:rPr>
          <w:rFonts w:ascii="Calibri" w:hAnsi="Calibri"/>
          <w:color w:val="212529"/>
          <w:sz w:val="28"/>
        </w:rPr>
        <w:t>10.3 Monitoring Dashboard</w:t>
      </w:r>
    </w:p>
    <w:p>
      <w:pPr>
        <w:spacing w:after="120" w:line="320" w:lineRule="exact"/>
        <w:jc w:val="both"/>
      </w:pPr>
      <w:r>
        <w:rPr>
          <w:rFonts w:ascii="Calibri" w:hAnsi="Calibri"/>
          <w:color w:val="212529"/>
          <w:sz w:val="22"/>
        </w:rPr>
        <w:t>A real-time monitoring dashboard is designed for the management board to track all SLA and KPI indicators. The dashboard provides visual displays of application volumes, processing times, SLA compliance rates and citizen satisfaction scores. The dashboard is updated in real-time and accessible through a web interface. Alerts are configured for SLA breaches and unusual patterns in application volumes or processing times.</w:t>
      </w:r>
    </w:p>
    <w:p>
      <w:pPr>
        <w:pStyle w:val="Heading1"/>
      </w:pPr>
      <w:r>
        <w:rPr>
          <w:rFonts w:ascii="Calibri" w:hAnsi="Calibri"/>
          <w:color w:val="005A9C"/>
          <w:sz w:val="32"/>
        </w:rPr>
        <w:t>11. Service Portfolio Alignment</w:t>
      </w:r>
    </w:p>
    <w:p>
      <w:pPr>
        <w:pStyle w:val="Heading2"/>
      </w:pPr>
      <w:r>
        <w:rPr>
          <w:rFonts w:ascii="Calibri" w:hAnsi="Calibri"/>
          <w:color w:val="212529"/>
          <w:sz w:val="28"/>
        </w:rPr>
        <w:t>11.1 Portfolio Context</w:t>
      </w:r>
    </w:p>
    <w:p>
      <w:pPr>
        <w:spacing w:after="120" w:line="320" w:lineRule="exact"/>
        <w:jc w:val="both"/>
      </w:pPr>
      <w:r>
        <w:rPr>
          <w:rFonts w:ascii="Calibri" w:hAnsi="Calibri"/>
          <w:color w:val="212529"/>
          <w:sz w:val="22"/>
        </w:rPr>
        <w:t>The LMAS is part of the broader government service portfolio managed by the State Employment Agency. The service portfolio includes employment registration, job search, vocational training, labor contract management and unemployment benefits. The LMAS design ensures alignment with the existing portfolio structure and uses consistent design patterns, data models and integration standards across all services.</w:t>
      </w:r>
    </w:p>
    <w:p>
      <w:pPr>
        <w:pStyle w:val="Heading2"/>
      </w:pPr>
      <w:r>
        <w:rPr>
          <w:rFonts w:ascii="Calibri" w:hAnsi="Calibri"/>
          <w:color w:val="212529"/>
          <w:sz w:val="28"/>
        </w:rPr>
        <w:t>11.2 Alignment with Government Service Standards</w:t>
      </w:r>
    </w:p>
    <w:p>
      <w:pPr>
        <w:spacing w:after="120" w:line="320" w:lineRule="exact"/>
        <w:jc w:val="both"/>
      </w:pPr>
      <w:r>
        <w:rPr>
          <w:rFonts w:ascii="Calibri" w:hAnsi="Calibri"/>
          <w:color w:val="212529"/>
          <w:sz w:val="22"/>
        </w:rPr>
        <w:t>The service design follows the digital government service standards set by the Innovation and Digital Development Agency. These standards cover service design methodology, data exchange protocols, security requirements and citizen experience guidelines. The LMAS is designed to be compatible with the my.gov.az unified government portal, enabling citizens to access employment services alongside other government services through a single entry point.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Area</w:t>
            </w:r>
          </w:p>
        </w:tc>
        <w:tc>
          <w:tcPr>
            <w:tcW w:type="dxa" w:w="3041"/>
            <w:shd w:fill="005A9C" w:val="clear"/>
          </w:tcPr>
          <w:p>
            <w:r/>
            <w:r>
              <w:rPr>
                <w:rFonts w:ascii="Calibri" w:hAnsi="Calibri"/>
                <w:b/>
                <w:color w:val="FFFFFF"/>
                <w:sz w:val="20"/>
              </w:rPr>
              <w:t>Standard</w:t>
            </w:r>
          </w:p>
        </w:tc>
        <w:tc>
          <w:tcPr>
            <w:tcW w:type="dxa" w:w="3041"/>
            <w:shd w:fill="005A9C" w:val="clear"/>
          </w:tcPr>
          <w:p>
            <w:r/>
            <w:r>
              <w:rPr>
                <w:rFonts w:ascii="Calibri" w:hAnsi="Calibri"/>
                <w:b/>
                <w:color w:val="FFFFFF"/>
                <w:sz w:val="20"/>
              </w:rPr>
              <w:t>Status</w:t>
            </w:r>
          </w:p>
        </w:tc>
      </w:tr>
      <w:tr>
        <w:tc>
          <w:tcPr>
            <w:tcW w:type="dxa" w:w="3041"/>
          </w:tcPr>
          <w:p>
            <w:r/>
            <w:r>
              <w:rPr>
                <w:rFonts w:ascii="Calibri" w:hAnsi="Calibri"/>
                <w:color w:val="212529"/>
                <w:sz w:val="20"/>
              </w:rPr>
              <w:t>Service design methodology</w:t>
            </w:r>
          </w:p>
        </w:tc>
        <w:tc>
          <w:tcPr>
            <w:tcW w:type="dxa" w:w="3041"/>
          </w:tcPr>
          <w:p>
            <w:r/>
            <w:r>
              <w:rPr>
                <w:rFonts w:ascii="Calibri" w:hAnsi="Calibri"/>
                <w:color w:val="212529"/>
                <w:sz w:val="20"/>
              </w:rPr>
              <w:t>Innovation Agency standards</w:t>
            </w:r>
          </w:p>
        </w:tc>
        <w:tc>
          <w:tcPr>
            <w:tcW w:type="dxa" w:w="3041"/>
          </w:tcPr>
          <w:p>
            <w:r/>
            <w:r>
              <w:rPr>
                <w:rFonts w:ascii="Calibri" w:hAnsi="Calibri"/>
                <w:color w:val="212529"/>
                <w:sz w:val="20"/>
              </w:rPr>
              <w:t>Aligned - uses As-Is / To-Be analysis, citizen journey mapping</w:t>
            </w:r>
          </w:p>
        </w:tc>
      </w:tr>
      <w:tr>
        <w:tc>
          <w:tcPr>
            <w:tcW w:type="dxa" w:w="3041"/>
          </w:tcPr>
          <w:p>
            <w:r/>
            <w:r>
              <w:rPr>
                <w:rFonts w:ascii="Calibri" w:hAnsi="Calibri"/>
                <w:color w:val="212529"/>
                <w:sz w:val="20"/>
              </w:rPr>
              <w:t>Data exchange</w:t>
            </w:r>
          </w:p>
        </w:tc>
        <w:tc>
          <w:tcPr>
            <w:tcW w:type="dxa" w:w="3041"/>
          </w:tcPr>
          <w:p>
            <w:r/>
            <w:r>
              <w:rPr>
                <w:rFonts w:ascii="Calibri" w:hAnsi="Calibri"/>
                <w:color w:val="212529"/>
                <w:sz w:val="20"/>
              </w:rPr>
              <w:t>Government interoperability framework</w:t>
            </w:r>
          </w:p>
        </w:tc>
        <w:tc>
          <w:tcPr>
            <w:tcW w:type="dxa" w:w="3041"/>
          </w:tcPr>
          <w:p>
            <w:r/>
            <w:r>
              <w:rPr>
                <w:rFonts w:ascii="Calibri" w:hAnsi="Calibri"/>
                <w:color w:val="212529"/>
                <w:sz w:val="20"/>
              </w:rPr>
              <w:t>Aligned - uses standardized API interfaces</w:t>
            </w:r>
          </w:p>
        </w:tc>
      </w:tr>
      <w:tr>
        <w:tc>
          <w:tcPr>
            <w:tcW w:type="dxa" w:w="3041"/>
          </w:tcPr>
          <w:p>
            <w:r/>
            <w:r>
              <w:rPr>
                <w:rFonts w:ascii="Calibri" w:hAnsi="Calibri"/>
                <w:color w:val="212529"/>
                <w:sz w:val="20"/>
              </w:rPr>
              <w:t>Authentication</w:t>
            </w:r>
          </w:p>
        </w:tc>
        <w:tc>
          <w:tcPr>
            <w:tcW w:type="dxa" w:w="3041"/>
          </w:tcPr>
          <w:p>
            <w:r/>
            <w:r>
              <w:rPr>
                <w:rFonts w:ascii="Calibri" w:hAnsi="Calibri"/>
                <w:color w:val="212529"/>
                <w:sz w:val="20"/>
              </w:rPr>
              <w:t>my.gov.az single sign-on</w:t>
            </w:r>
          </w:p>
        </w:tc>
        <w:tc>
          <w:tcPr>
            <w:tcW w:type="dxa" w:w="3041"/>
          </w:tcPr>
          <w:p>
            <w:r/>
            <w:r>
              <w:rPr>
                <w:rFonts w:ascii="Calibri" w:hAnsi="Calibri"/>
                <w:color w:val="212529"/>
                <w:sz w:val="20"/>
              </w:rPr>
              <w:t>Aligned - supports SSO integration</w:t>
            </w:r>
          </w:p>
        </w:tc>
      </w:tr>
      <w:tr>
        <w:tc>
          <w:tcPr>
            <w:tcW w:type="dxa" w:w="3041"/>
          </w:tcPr>
          <w:p>
            <w:r/>
            <w:r>
              <w:rPr>
                <w:rFonts w:ascii="Calibri" w:hAnsi="Calibri"/>
                <w:color w:val="212529"/>
                <w:sz w:val="20"/>
              </w:rPr>
              <w:t>Notification</w:t>
            </w:r>
          </w:p>
        </w:tc>
        <w:tc>
          <w:tcPr>
            <w:tcW w:type="dxa" w:w="3041"/>
          </w:tcPr>
          <w:p>
            <w:r/>
            <w:r>
              <w:rPr>
                <w:rFonts w:ascii="Calibri" w:hAnsi="Calibri"/>
                <w:color w:val="212529"/>
                <w:sz w:val="20"/>
              </w:rPr>
              <w:t>Government notification standards</w:t>
            </w:r>
          </w:p>
        </w:tc>
        <w:tc>
          <w:tcPr>
            <w:tcW w:type="dxa" w:w="3041"/>
          </w:tcPr>
          <w:p>
            <w:r/>
            <w:r>
              <w:rPr>
                <w:rFonts w:ascii="Calibri" w:hAnsi="Calibri"/>
                <w:color w:val="212529"/>
                <w:sz w:val="20"/>
              </w:rPr>
              <w:t>Aligned - uses official notification channels</w:t>
            </w:r>
          </w:p>
        </w:tc>
      </w:tr>
      <w:tr>
        <w:tc>
          <w:tcPr>
            <w:tcW w:type="dxa" w:w="3041"/>
          </w:tcPr>
          <w:p>
            <w:r/>
            <w:r>
              <w:rPr>
                <w:rFonts w:ascii="Calibri" w:hAnsi="Calibri"/>
                <w:color w:val="212529"/>
                <w:sz w:val="20"/>
              </w:rPr>
              <w:t>Accessibility</w:t>
            </w:r>
          </w:p>
        </w:tc>
        <w:tc>
          <w:tcPr>
            <w:tcW w:type="dxa" w:w="3041"/>
          </w:tcPr>
          <w:p>
            <w:r/>
            <w:r>
              <w:rPr>
                <w:rFonts w:ascii="Calibri" w:hAnsi="Calibri"/>
                <w:color w:val="212529"/>
                <w:sz w:val="20"/>
              </w:rPr>
              <w:t>WCA 2.1 AA standards</w:t>
            </w:r>
          </w:p>
        </w:tc>
        <w:tc>
          <w:tcPr>
            <w:tcW w:type="dxa" w:w="3041"/>
          </w:tcPr>
          <w:p>
            <w:r/>
            <w:r>
              <w:rPr>
                <w:rFonts w:ascii="Calibri" w:hAnsi="Calibri"/>
                <w:color w:val="212529"/>
                <w:sz w:val="20"/>
              </w:rPr>
              <w:t>Partially aligned - planned for Phase 2</w:t>
            </w:r>
          </w:p>
        </w:tc>
      </w:tr>
    </w:tbl>
    <w:p/>
    <w:p>
      <w:pPr>
        <w:pStyle w:val="Heading1"/>
      </w:pPr>
      <w:r>
        <w:rPr>
          <w:rFonts w:ascii="Calibri" w:hAnsi="Calibri"/>
          <w:color w:val="005A9C"/>
          <w:sz w:val="32"/>
        </w:rPr>
        <w:t>12. Process Architecture</w:t>
      </w:r>
    </w:p>
    <w:p>
      <w:pPr>
        <w:pStyle w:val="Heading2"/>
      </w:pPr>
      <w:r>
        <w:rPr>
          <w:rFonts w:ascii="Calibri" w:hAnsi="Calibri"/>
          <w:color w:val="212529"/>
          <w:sz w:val="28"/>
        </w:rPr>
        <w:t>12.1 Architecture Overview</w:t>
      </w:r>
    </w:p>
    <w:p>
      <w:pPr>
        <w:spacing w:after="120" w:line="320" w:lineRule="exact"/>
        <w:jc w:val="both"/>
      </w:pPr>
      <w:r>
        <w:rPr>
          <w:rFonts w:ascii="Calibri" w:hAnsi="Calibri"/>
          <w:color w:val="212529"/>
          <w:sz w:val="22"/>
        </w:rPr>
        <w:t>The process architecture defines the structure, layers and relationships of all processes within the LMAS. The architecture is designed at three levels: strategic (service portfolio and life-event grouping), tactical (end-to-end service processes) and operational (individual task workflows). This multi-level approach ensures that the service is managed both at the process architecture level and at the operational execution level, as required by the Agency standards.</w:t>
      </w:r>
    </w:p>
    <w:p>
      <w:pPr>
        <w:pStyle w:val="Heading2"/>
      </w:pPr>
      <w:r>
        <w:rPr>
          <w:rFonts w:ascii="Calibri" w:hAnsi="Calibri"/>
          <w:color w:val="212529"/>
          <w:sz w:val="28"/>
        </w:rPr>
        <w:t>12.2 Process Layers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Layer</w:t>
            </w:r>
          </w:p>
        </w:tc>
        <w:tc>
          <w:tcPr>
            <w:tcW w:type="dxa" w:w="4561"/>
            <w:shd w:fill="005A9C" w:val="clear"/>
          </w:tcPr>
          <w:p>
            <w:r/>
            <w:r>
              <w:rPr>
                <w:rFonts w:ascii="Calibri" w:hAnsi="Calibri"/>
                <w:b/>
                <w:color w:val="FFFFFF"/>
                <w:sz w:val="20"/>
              </w:rPr>
              <w:t>Scope</w:t>
            </w:r>
          </w:p>
        </w:tc>
      </w:tr>
      <w:tr>
        <w:tc>
          <w:tcPr>
            <w:tcW w:type="dxa" w:w="4561"/>
          </w:tcPr>
          <w:p>
            <w:r/>
            <w:r>
              <w:rPr>
                <w:rFonts w:ascii="Calibri" w:hAnsi="Calibri"/>
                <w:color w:val="212529"/>
                <w:sz w:val="20"/>
              </w:rPr>
              <w:t>Strategic layer</w:t>
            </w:r>
          </w:p>
        </w:tc>
        <w:tc>
          <w:tcPr>
            <w:tcW w:type="dxa" w:w="4561"/>
          </w:tcPr>
          <w:p>
            <w:r/>
            <w:r>
              <w:rPr>
                <w:rFonts w:ascii="Calibri" w:hAnsi="Calibri"/>
                <w:color w:val="212529"/>
                <w:sz w:val="20"/>
              </w:rPr>
              <w:t>Service portfolio management, life-event categorization, service priority definition</w:t>
            </w:r>
          </w:p>
        </w:tc>
      </w:tr>
      <w:tr>
        <w:tc>
          <w:tcPr>
            <w:tcW w:type="dxa" w:w="4561"/>
          </w:tcPr>
          <w:p>
            <w:r/>
            <w:r>
              <w:rPr>
                <w:rFonts w:ascii="Calibri" w:hAnsi="Calibri"/>
                <w:color w:val="212529"/>
                <w:sz w:val="20"/>
              </w:rPr>
              <w:t>Tactical layer</w:t>
            </w:r>
          </w:p>
        </w:tc>
        <w:tc>
          <w:tcPr>
            <w:tcW w:type="dxa" w:w="4561"/>
          </w:tcPr>
          <w:p>
            <w:r/>
            <w:r>
              <w:rPr>
                <w:rFonts w:ascii="Calibri" w:hAnsi="Calibri"/>
                <w:color w:val="212529"/>
                <w:sz w:val="20"/>
              </w:rPr>
              <w:t>End-to-end service processes (application to result), cross-agency coordination workflows</w:t>
            </w:r>
          </w:p>
        </w:tc>
      </w:tr>
      <w:tr>
        <w:tc>
          <w:tcPr>
            <w:tcW w:type="dxa" w:w="4561"/>
          </w:tcPr>
          <w:p>
            <w:r/>
            <w:r>
              <w:rPr>
                <w:rFonts w:ascii="Calibri" w:hAnsi="Calibri"/>
                <w:color w:val="212529"/>
                <w:sz w:val="20"/>
              </w:rPr>
              <w:t>Operational layer</w:t>
            </w:r>
          </w:p>
        </w:tc>
        <w:tc>
          <w:tcPr>
            <w:tcW w:type="dxa" w:w="4561"/>
          </w:tcPr>
          <w:p>
            <w:r/>
            <w:r>
              <w:rPr>
                <w:rFonts w:ascii="Calibri" w:hAnsi="Calibri"/>
                <w:color w:val="212529"/>
                <w:sz w:val="20"/>
              </w:rPr>
              <w:t>Individual task workflows, document verification steps, notification triggers</w:t>
            </w:r>
          </w:p>
        </w:tc>
      </w:tr>
    </w:tbl>
    <w:p/>
    <w:p>
      <w:pPr>
        <w:pStyle w:val="Heading2"/>
      </w:pPr>
      <w:r>
        <w:rPr>
          <w:rFonts w:ascii="Calibri" w:hAnsi="Calibri"/>
          <w:color w:val="212529"/>
          <w:sz w:val="28"/>
        </w:rPr>
        <w:t>12.3 As-Is / To-Be Process Mapping</w:t>
      </w:r>
    </w:p>
    <w:p>
      <w:pPr>
        <w:spacing w:after="120" w:line="320" w:lineRule="exact"/>
        <w:jc w:val="both"/>
      </w:pPr>
      <w:r>
        <w:rPr>
          <w:rFonts w:ascii="Calibri" w:hAnsi="Calibri"/>
          <w:color w:val="212529"/>
          <w:sz w:val="22"/>
        </w:rPr>
        <w:t>Each service process has been mapped from As-Is state to To-Be state using BPMN process models. The As-Is models capture the current paper-based processes with all manual steps, bottlenecks and handoff points. The To-Be models define the redesigned digital processes with automated workflows, validation rules and integration touchpoints. The gap between As-Is and To-Be has been analyzed and documented, and the transition plan is included in the Implementation Roadmap section of this document.</w:t>
      </w:r>
    </w:p>
    <w:p>
      <w:pPr>
        <w:pStyle w:val="Heading1"/>
      </w:pPr>
      <w:r>
        <w:rPr>
          <w:rFonts w:ascii="Calibri" w:hAnsi="Calibri"/>
          <w:color w:val="005A9C"/>
          <w:sz w:val="32"/>
        </w:rPr>
        <w:t>13. Implementation Roadmap</w:t>
      </w:r>
    </w:p>
    <w:p>
      <w:pPr>
        <w:pStyle w:val="Heading2"/>
      </w:pPr>
      <w:r>
        <w:rPr>
          <w:rFonts w:ascii="Calibri" w:hAnsi="Calibri"/>
          <w:color w:val="212529"/>
          <w:sz w:val="28"/>
        </w:rPr>
        <w:t>13.1 Phased Approach</w:t>
      </w:r>
    </w:p>
    <w:p>
      <w:pPr>
        <w:spacing w:after="120" w:line="320" w:lineRule="exact"/>
        <w:jc w:val="both"/>
      </w:pPr>
      <w:r>
        <w:rPr>
          <w:rFonts w:ascii="Calibri" w:hAnsi="Calibri"/>
          <w:color w:val="212529"/>
          <w:sz w:val="22"/>
        </w:rPr>
        <w:t>The implementation follows a phased approach to manage risk and deliver value incrementally. Each phase delivers a working subset of the service that can be tested and validated before moving to the next phase. The roadmap is aligned with the Agency quarterly planning cycle.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Phase</w:t>
            </w:r>
          </w:p>
        </w:tc>
        <w:tc>
          <w:tcPr>
            <w:tcW w:type="dxa" w:w="2280"/>
            <w:shd w:fill="005A9C" w:val="clear"/>
          </w:tcPr>
          <w:p>
            <w:r/>
            <w:r>
              <w:rPr>
                <w:rFonts w:ascii="Calibri" w:hAnsi="Calibri"/>
                <w:b/>
                <w:color w:val="FFFFFF"/>
                <w:sz w:val="20"/>
              </w:rPr>
              <w:t>Name</w:t>
            </w:r>
          </w:p>
        </w:tc>
        <w:tc>
          <w:tcPr>
            <w:tcW w:type="dxa" w:w="2280"/>
            <w:shd w:fill="005A9C" w:val="clear"/>
          </w:tcPr>
          <w:p>
            <w:r/>
            <w:r>
              <w:rPr>
                <w:rFonts w:ascii="Calibri" w:hAnsi="Calibri"/>
                <w:b/>
                <w:color w:val="FFFFFF"/>
                <w:sz w:val="20"/>
              </w:rPr>
              <w:t>Timeline</w:t>
            </w:r>
          </w:p>
        </w:tc>
        <w:tc>
          <w:tcPr>
            <w:tcW w:type="dxa" w:w="2280"/>
            <w:shd w:fill="005A9C" w:val="clear"/>
          </w:tcPr>
          <w:p>
            <w:r/>
            <w:r>
              <w:rPr>
                <w:rFonts w:ascii="Calibri" w:hAnsi="Calibri"/>
                <w:b/>
                <w:color w:val="FFFFFF"/>
                <w:sz w:val="20"/>
              </w:rPr>
              <w:t>Deliverables</w:t>
            </w:r>
          </w:p>
        </w:tc>
      </w:tr>
      <w:tr>
        <w:tc>
          <w:tcPr>
            <w:tcW w:type="dxa" w:w="2280"/>
          </w:tcPr>
          <w:p>
            <w:r/>
            <w:r>
              <w:rPr>
                <w:rFonts w:ascii="Calibri" w:hAnsi="Calibri"/>
                <w:color w:val="212529"/>
                <w:sz w:val="20"/>
              </w:rPr>
              <w:t>Phase 1</w:t>
            </w:r>
          </w:p>
        </w:tc>
        <w:tc>
          <w:tcPr>
            <w:tcW w:type="dxa" w:w="2280"/>
          </w:tcPr>
          <w:p>
            <w:r/>
            <w:r>
              <w:rPr>
                <w:rFonts w:ascii="Calibri" w:hAnsi="Calibri"/>
                <w:color w:val="212529"/>
                <w:sz w:val="20"/>
              </w:rPr>
              <w:t>Foundation</w:t>
            </w:r>
          </w:p>
        </w:tc>
        <w:tc>
          <w:tcPr>
            <w:tcW w:type="dxa" w:w="2280"/>
          </w:tcPr>
          <w:p>
            <w:r/>
            <w:r>
              <w:rPr>
                <w:rFonts w:ascii="Calibri" w:hAnsi="Calibri"/>
                <w:color w:val="212529"/>
                <w:sz w:val="20"/>
              </w:rPr>
              <w:t>Month 1-3</w:t>
            </w:r>
          </w:p>
        </w:tc>
        <w:tc>
          <w:tcPr>
            <w:tcW w:type="dxa" w:w="2280"/>
          </w:tcPr>
          <w:p>
            <w:r/>
            <w:r>
              <w:rPr>
                <w:rFonts w:ascii="Calibri" w:hAnsi="Calibri"/>
                <w:color w:val="212529"/>
                <w:sz w:val="20"/>
              </w:rPr>
              <w:t>Core system setup, database, integration middleware, Telegram bot MVP</w:t>
            </w:r>
          </w:p>
        </w:tc>
      </w:tr>
      <w:tr>
        <w:tc>
          <w:tcPr>
            <w:tcW w:type="dxa" w:w="2280"/>
          </w:tcPr>
          <w:p>
            <w:r/>
            <w:r>
              <w:rPr>
                <w:rFonts w:ascii="Calibri" w:hAnsi="Calibri"/>
                <w:color w:val="212529"/>
                <w:sz w:val="20"/>
              </w:rPr>
              <w:t>Phase 2</w:t>
            </w:r>
          </w:p>
        </w:tc>
        <w:tc>
          <w:tcPr>
            <w:tcW w:type="dxa" w:w="2280"/>
          </w:tcPr>
          <w:p>
            <w:r/>
            <w:r>
              <w:rPr>
                <w:rFonts w:ascii="Calibri" w:hAnsi="Calibri"/>
                <w:color w:val="212529"/>
                <w:sz w:val="20"/>
              </w:rPr>
              <w:t>Core Services</w:t>
            </w:r>
          </w:p>
        </w:tc>
        <w:tc>
          <w:tcPr>
            <w:tcW w:type="dxa" w:w="2280"/>
          </w:tcPr>
          <w:p>
            <w:r/>
            <w:r>
              <w:rPr>
                <w:rFonts w:ascii="Calibri" w:hAnsi="Calibri"/>
                <w:color w:val="212529"/>
                <w:sz w:val="20"/>
              </w:rPr>
              <w:t>Month 4-6</w:t>
            </w:r>
          </w:p>
        </w:tc>
        <w:tc>
          <w:tcPr>
            <w:tcW w:type="dxa" w:w="2280"/>
          </w:tcPr>
          <w:p>
            <w:r/>
            <w:r>
              <w:rPr>
                <w:rFonts w:ascii="Calibri" w:hAnsi="Calibri"/>
                <w:color w:val="212529"/>
                <w:sz w:val="20"/>
              </w:rPr>
              <w:t>Digital application submission, automatic verification, status tracking</w:t>
            </w:r>
          </w:p>
        </w:tc>
      </w:tr>
      <w:tr>
        <w:tc>
          <w:tcPr>
            <w:tcW w:type="dxa" w:w="2280"/>
          </w:tcPr>
          <w:p>
            <w:r/>
            <w:r>
              <w:rPr>
                <w:rFonts w:ascii="Calibri" w:hAnsi="Calibri"/>
                <w:color w:val="212529"/>
                <w:sz w:val="20"/>
              </w:rPr>
              <w:t>Phase 3</w:t>
            </w:r>
          </w:p>
        </w:tc>
        <w:tc>
          <w:tcPr>
            <w:tcW w:type="dxa" w:w="2280"/>
          </w:tcPr>
          <w:p>
            <w:r/>
            <w:r>
              <w:rPr>
                <w:rFonts w:ascii="Calibri" w:hAnsi="Calibri"/>
                <w:color w:val="212529"/>
                <w:sz w:val="20"/>
              </w:rPr>
              <w:t>Full Integration</w:t>
            </w:r>
          </w:p>
        </w:tc>
        <w:tc>
          <w:tcPr>
            <w:tcW w:type="dxa" w:w="2280"/>
          </w:tcPr>
          <w:p>
            <w:r/>
            <w:r>
              <w:rPr>
                <w:rFonts w:ascii="Calibri" w:hAnsi="Calibri"/>
                <w:color w:val="212529"/>
                <w:sz w:val="20"/>
              </w:rPr>
              <w:t>Month 7-9</w:t>
            </w:r>
          </w:p>
        </w:tc>
        <w:tc>
          <w:tcPr>
            <w:tcW w:type="dxa" w:w="2280"/>
          </w:tcPr>
          <w:p>
            <w:r/>
            <w:r>
              <w:rPr>
                <w:rFonts w:ascii="Calibri" w:hAnsi="Calibri"/>
                <w:color w:val="212529"/>
                <w:sz w:val="20"/>
              </w:rPr>
              <w:t>Multi-agency data exchange, monitoring dashboard, web portal</w:t>
            </w:r>
          </w:p>
        </w:tc>
      </w:tr>
      <w:tr>
        <w:tc>
          <w:tcPr>
            <w:tcW w:type="dxa" w:w="2280"/>
          </w:tcPr>
          <w:p>
            <w:r/>
            <w:r>
              <w:rPr>
                <w:rFonts w:ascii="Calibri" w:hAnsi="Calibri"/>
                <w:color w:val="212529"/>
                <w:sz w:val="20"/>
              </w:rPr>
              <w:t>Phase 4</w:t>
            </w:r>
          </w:p>
        </w:tc>
        <w:tc>
          <w:tcPr>
            <w:tcW w:type="dxa" w:w="2280"/>
          </w:tcPr>
          <w:p>
            <w:r/>
            <w:r>
              <w:rPr>
                <w:rFonts w:ascii="Calibri" w:hAnsi="Calibri"/>
                <w:color w:val="212529"/>
                <w:sz w:val="20"/>
              </w:rPr>
              <w:t>Optimization</w:t>
            </w:r>
          </w:p>
        </w:tc>
        <w:tc>
          <w:tcPr>
            <w:tcW w:type="dxa" w:w="2280"/>
          </w:tcPr>
          <w:p>
            <w:r/>
            <w:r>
              <w:rPr>
                <w:rFonts w:ascii="Calibri" w:hAnsi="Calibri"/>
                <w:color w:val="212529"/>
                <w:sz w:val="20"/>
              </w:rPr>
              <w:t>Month 10-12</w:t>
            </w:r>
          </w:p>
        </w:tc>
        <w:tc>
          <w:tcPr>
            <w:tcW w:type="dxa" w:w="2280"/>
          </w:tcPr>
          <w:p>
            <w:r/>
            <w:r>
              <w:rPr>
                <w:rFonts w:ascii="Calibri" w:hAnsi="Calibri"/>
                <w:color w:val="212529"/>
                <w:sz w:val="20"/>
              </w:rPr>
              <w:t>Performance optimization, accessibility improvements, advanced analytics</w:t>
            </w:r>
          </w:p>
        </w:tc>
      </w:tr>
    </w:tbl>
    <w:p/>
    <w:p>
      <w:pPr>
        <w:pStyle w:val="Heading2"/>
      </w:pPr>
      <w:r>
        <w:rPr>
          <w:rFonts w:ascii="Calibri" w:hAnsi="Calibri"/>
          <w:color w:val="212529"/>
          <w:sz w:val="28"/>
        </w:rPr>
        <w:t>13.2 Critical Dependencies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Dependency</w:t>
            </w:r>
          </w:p>
        </w:tc>
        <w:tc>
          <w:tcPr>
            <w:tcW w:type="dxa" w:w="2280"/>
            <w:shd w:fill="005A9C" w:val="clear"/>
          </w:tcPr>
          <w:p>
            <w:r/>
            <w:r>
              <w:rPr>
                <w:rFonts w:ascii="Calibri" w:hAnsi="Calibri"/>
                <w:b/>
                <w:color w:val="FFFFFF"/>
                <w:sz w:val="20"/>
              </w:rPr>
              <w:t>Description</w:t>
            </w:r>
          </w:p>
        </w:tc>
        <w:tc>
          <w:tcPr>
            <w:tcW w:type="dxa" w:w="2280"/>
            <w:shd w:fill="005A9C" w:val="clear"/>
          </w:tcPr>
          <w:p>
            <w:r/>
            <w:r>
              <w:rPr>
                <w:rFonts w:ascii="Calibri" w:hAnsi="Calibri"/>
                <w:b/>
                <w:color w:val="FFFFFF"/>
                <w:sz w:val="20"/>
              </w:rPr>
              <w:t>Impact</w:t>
            </w:r>
          </w:p>
        </w:tc>
        <w:tc>
          <w:tcPr>
            <w:tcW w:type="dxa" w:w="2280"/>
            <w:shd w:fill="005A9C" w:val="clear"/>
          </w:tcPr>
          <w:p>
            <w:r/>
            <w:r>
              <w:rPr>
                <w:rFonts w:ascii="Calibri" w:hAnsi="Calibri"/>
                <w:b/>
                <w:color w:val="FFFFFF"/>
                <w:sz w:val="20"/>
              </w:rPr>
              <w:t>Required By</w:t>
            </w:r>
          </w:p>
        </w:tc>
      </w:tr>
      <w:tr>
        <w:tc>
          <w:tcPr>
            <w:tcW w:type="dxa" w:w="2280"/>
          </w:tcPr>
          <w:p>
            <w:r/>
            <w:r>
              <w:rPr>
                <w:rFonts w:ascii="Calibri" w:hAnsi="Calibri"/>
                <w:color w:val="212529"/>
                <w:sz w:val="20"/>
              </w:rPr>
              <w:t>Government database access</w:t>
            </w:r>
          </w:p>
        </w:tc>
        <w:tc>
          <w:tcPr>
            <w:tcW w:type="dxa" w:w="2280"/>
          </w:tcPr>
          <w:p>
            <w:r/>
            <w:r>
              <w:rPr>
                <w:rFonts w:ascii="Calibri" w:hAnsi="Calibri"/>
                <w:color w:val="212529"/>
                <w:sz w:val="20"/>
              </w:rPr>
              <w:t>API access to Social Protection Fund and Ministry of Education databases</w:t>
            </w:r>
          </w:p>
        </w:tc>
        <w:tc>
          <w:tcPr>
            <w:tcW w:type="dxa" w:w="2280"/>
          </w:tcPr>
          <w:p>
            <w:r/>
            <w:r>
              <w:rPr>
                <w:rFonts w:ascii="Calibri" w:hAnsi="Calibri"/>
                <w:color w:val="212529"/>
                <w:sz w:val="20"/>
              </w:rPr>
              <w:t>High</w:t>
            </w:r>
          </w:p>
        </w:tc>
        <w:tc>
          <w:tcPr>
            <w:tcW w:type="dxa" w:w="2280"/>
          </w:tcPr>
          <w:p>
            <w:r/>
            <w:r>
              <w:rPr>
                <w:rFonts w:ascii="Calibri" w:hAnsi="Calibri"/>
                <w:color w:val="212529"/>
                <w:sz w:val="20"/>
              </w:rPr>
              <w:t>Phase 2</w:t>
            </w:r>
          </w:p>
        </w:tc>
      </w:tr>
      <w:tr>
        <w:tc>
          <w:tcPr>
            <w:tcW w:type="dxa" w:w="2280"/>
          </w:tcPr>
          <w:p>
            <w:r/>
            <w:r>
              <w:rPr>
                <w:rFonts w:ascii="Calibri" w:hAnsi="Calibri"/>
                <w:color w:val="212529"/>
                <w:sz w:val="20"/>
              </w:rPr>
              <w:t>my.gov.az integration</w:t>
            </w:r>
          </w:p>
        </w:tc>
        <w:tc>
          <w:tcPr>
            <w:tcW w:type="dxa" w:w="2280"/>
          </w:tcPr>
          <w:p>
            <w:r/>
            <w:r>
              <w:rPr>
                <w:rFonts w:ascii="Calibri" w:hAnsi="Calibri"/>
                <w:color w:val="212529"/>
                <w:sz w:val="20"/>
              </w:rPr>
              <w:t>Single sign-on and unified portal integration</w:t>
            </w:r>
          </w:p>
        </w:tc>
        <w:tc>
          <w:tcPr>
            <w:tcW w:type="dxa" w:w="2280"/>
          </w:tcPr>
          <w:p>
            <w:r/>
            <w:r>
              <w:rPr>
                <w:rFonts w:ascii="Calibri" w:hAnsi="Calibri"/>
                <w:color w:val="212529"/>
                <w:sz w:val="20"/>
              </w:rPr>
              <w:t>Medium</w:t>
            </w:r>
          </w:p>
        </w:tc>
        <w:tc>
          <w:tcPr>
            <w:tcW w:type="dxa" w:w="2280"/>
          </w:tcPr>
          <w:p>
            <w:r/>
            <w:r>
              <w:rPr>
                <w:rFonts w:ascii="Calibri" w:hAnsi="Calibri"/>
                <w:color w:val="212529"/>
                <w:sz w:val="20"/>
              </w:rPr>
              <w:t>Phase 3</w:t>
            </w:r>
          </w:p>
        </w:tc>
      </w:tr>
      <w:tr>
        <w:tc>
          <w:tcPr>
            <w:tcW w:type="dxa" w:w="2280"/>
          </w:tcPr>
          <w:p>
            <w:r/>
            <w:r>
              <w:rPr>
                <w:rFonts w:ascii="Calibri" w:hAnsi="Calibri"/>
                <w:color w:val="212529"/>
                <w:sz w:val="20"/>
              </w:rPr>
              <w:t>ASAN Service integration</w:t>
            </w:r>
          </w:p>
        </w:tc>
        <w:tc>
          <w:tcPr>
            <w:tcW w:type="dxa" w:w="2280"/>
          </w:tcPr>
          <w:p>
            <w:r/>
            <w:r>
              <w:rPr>
                <w:rFonts w:ascii="Calibri" w:hAnsi="Calibri"/>
                <w:color w:val="212529"/>
                <w:sz w:val="20"/>
              </w:rPr>
              <w:t>Physical document delivery channel integration</w:t>
            </w:r>
          </w:p>
        </w:tc>
        <w:tc>
          <w:tcPr>
            <w:tcW w:type="dxa" w:w="2280"/>
          </w:tcPr>
          <w:p>
            <w:r/>
            <w:r>
              <w:rPr>
                <w:rFonts w:ascii="Calibri" w:hAnsi="Calibri"/>
                <w:color w:val="212529"/>
                <w:sz w:val="20"/>
              </w:rPr>
              <w:t>Low</w:t>
            </w:r>
          </w:p>
        </w:tc>
        <w:tc>
          <w:tcPr>
            <w:tcW w:type="dxa" w:w="2280"/>
          </w:tcPr>
          <w:p>
            <w:r/>
            <w:r>
              <w:rPr>
                <w:rFonts w:ascii="Calibri" w:hAnsi="Calibri"/>
                <w:color w:val="212529"/>
                <w:sz w:val="20"/>
              </w:rPr>
              <w:t>Phase 3</w:t>
            </w:r>
          </w:p>
        </w:tc>
      </w:tr>
      <w:tr>
        <w:tc>
          <w:tcPr>
            <w:tcW w:type="dxa" w:w="2280"/>
          </w:tcPr>
          <w:p>
            <w:r/>
            <w:r>
              <w:rPr>
                <w:rFonts w:ascii="Calibri" w:hAnsi="Calibri"/>
                <w:color w:val="212529"/>
                <w:sz w:val="20"/>
              </w:rPr>
              <w:t>Staff training</w:t>
            </w:r>
          </w:p>
        </w:tc>
        <w:tc>
          <w:tcPr>
            <w:tcW w:type="dxa" w:w="2280"/>
          </w:tcPr>
          <w:p>
            <w:r/>
            <w:r>
              <w:rPr>
                <w:rFonts w:ascii="Calibri" w:hAnsi="Calibri"/>
                <w:color w:val="212529"/>
                <w:sz w:val="20"/>
              </w:rPr>
              <w:t>Training for agency staff on new digital processes</w:t>
            </w:r>
          </w:p>
        </w:tc>
        <w:tc>
          <w:tcPr>
            <w:tcW w:type="dxa" w:w="2280"/>
          </w:tcPr>
          <w:p>
            <w:r/>
            <w:r>
              <w:rPr>
                <w:rFonts w:ascii="Calibri" w:hAnsi="Calibri"/>
                <w:color w:val="212529"/>
                <w:sz w:val="20"/>
              </w:rPr>
              <w:t>High</w:t>
            </w:r>
          </w:p>
        </w:tc>
        <w:tc>
          <w:tcPr>
            <w:tcW w:type="dxa" w:w="2280"/>
          </w:tcPr>
          <w:p>
            <w:r/>
            <w:r>
              <w:rPr>
                <w:rFonts w:ascii="Calibri" w:hAnsi="Calibri"/>
                <w:color w:val="212529"/>
                <w:sz w:val="20"/>
              </w:rPr>
              <w:t>Phase 2</w:t>
            </w:r>
          </w:p>
        </w:tc>
      </w:tr>
      <w:tr>
        <w:tc>
          <w:tcPr>
            <w:tcW w:type="dxa" w:w="2280"/>
          </w:tcPr>
          <w:p>
            <w:r/>
            <w:r>
              <w:rPr>
                <w:rFonts w:ascii="Calibri" w:hAnsi="Calibri"/>
                <w:color w:val="212529"/>
                <w:sz w:val="20"/>
              </w:rPr>
              <w:t>Legal framework</w:t>
            </w:r>
          </w:p>
        </w:tc>
        <w:tc>
          <w:tcPr>
            <w:tcW w:type="dxa" w:w="2280"/>
          </w:tcPr>
          <w:p>
            <w:r/>
            <w:r>
              <w:rPr>
                <w:rFonts w:ascii="Calibri" w:hAnsi="Calibri"/>
                <w:color w:val="212529"/>
                <w:sz w:val="20"/>
              </w:rPr>
              <w:t>Regulatory approval for digital application submission</w:t>
            </w:r>
          </w:p>
        </w:tc>
        <w:tc>
          <w:tcPr>
            <w:tcW w:type="dxa" w:w="2280"/>
          </w:tcPr>
          <w:p>
            <w:r/>
            <w:r>
              <w:rPr>
                <w:rFonts w:ascii="Calibri" w:hAnsi="Calibri"/>
                <w:color w:val="212529"/>
                <w:sz w:val="20"/>
              </w:rPr>
              <w:t>High</w:t>
            </w:r>
          </w:p>
        </w:tc>
        <w:tc>
          <w:tcPr>
            <w:tcW w:type="dxa" w:w="2280"/>
          </w:tcPr>
          <w:p>
            <w:r/>
            <w:r>
              <w:rPr>
                <w:rFonts w:ascii="Calibri" w:hAnsi="Calibri"/>
                <w:color w:val="212529"/>
                <w:sz w:val="20"/>
              </w:rPr>
              <w:t>Phase 1</w:t>
            </w:r>
          </w:p>
        </w:tc>
      </w:tr>
    </w:tbl>
    <w:p/>
    <w:p>
      <w:pPr>
        <w:pStyle w:val="Heading1"/>
      </w:pPr>
      <w:r>
        <w:rPr>
          <w:rFonts w:ascii="Calibri" w:hAnsi="Calibri"/>
          <w:color w:val="005A9C"/>
          <w:sz w:val="32"/>
        </w:rPr>
        <w:t>14. Risks and Dependencies</w:t>
      </w:r>
    </w:p>
    <w:p>
      <w:pPr>
        <w:pStyle w:val="Heading2"/>
      </w:pPr>
      <w:r>
        <w:rPr>
          <w:rFonts w:ascii="Calibri" w:hAnsi="Calibri"/>
          <w:color w:val="212529"/>
          <w:sz w:val="28"/>
        </w:rPr>
        <w:t>14.1 Risk Register</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5A9C" w:val="clear"/>
          </w:tcPr>
          <w:p>
            <w:r/>
            <w:r>
              <w:rPr>
                <w:rFonts w:ascii="Calibri" w:hAnsi="Calibri"/>
                <w:b/>
                <w:color w:val="FFFFFF"/>
                <w:sz w:val="20"/>
              </w:rPr>
              <w:t>ID</w:t>
            </w:r>
          </w:p>
        </w:tc>
        <w:tc>
          <w:tcPr>
            <w:tcW w:type="dxa" w:w="1824"/>
            <w:shd w:fill="005A9C" w:val="clear"/>
          </w:tcPr>
          <w:p>
            <w:r/>
            <w:r>
              <w:rPr>
                <w:rFonts w:ascii="Calibri" w:hAnsi="Calibri"/>
                <w:b/>
                <w:color w:val="FFFFFF"/>
                <w:sz w:val="20"/>
              </w:rPr>
              <w:t>Risk</w:t>
            </w:r>
          </w:p>
        </w:tc>
        <w:tc>
          <w:tcPr>
            <w:tcW w:type="dxa" w:w="1824"/>
            <w:shd w:fill="005A9C" w:val="clear"/>
          </w:tcPr>
          <w:p>
            <w:r/>
            <w:r>
              <w:rPr>
                <w:rFonts w:ascii="Calibri" w:hAnsi="Calibri"/>
                <w:b/>
                <w:color w:val="FFFFFF"/>
                <w:sz w:val="20"/>
              </w:rPr>
              <w:t>Probability</w:t>
            </w:r>
          </w:p>
        </w:tc>
        <w:tc>
          <w:tcPr>
            <w:tcW w:type="dxa" w:w="1824"/>
            <w:shd w:fill="005A9C" w:val="clear"/>
          </w:tcPr>
          <w:p>
            <w:r/>
            <w:r>
              <w:rPr>
                <w:rFonts w:ascii="Calibri" w:hAnsi="Calibri"/>
                <w:b/>
                <w:color w:val="FFFFFF"/>
                <w:sz w:val="20"/>
              </w:rPr>
              <w:t>Impact</w:t>
            </w:r>
          </w:p>
        </w:tc>
        <w:tc>
          <w:tcPr>
            <w:tcW w:type="dxa" w:w="1824"/>
            <w:shd w:fill="005A9C" w:val="clear"/>
          </w:tcPr>
          <w:p>
            <w:r/>
            <w:r>
              <w:rPr>
                <w:rFonts w:ascii="Calibri" w:hAnsi="Calibri"/>
                <w:b/>
                <w:color w:val="FFFFFF"/>
                <w:sz w:val="20"/>
              </w:rPr>
              <w:t>Mitigation</w:t>
            </w:r>
          </w:p>
        </w:tc>
      </w:tr>
      <w:tr>
        <w:tc>
          <w:tcPr>
            <w:tcW w:type="dxa" w:w="1824"/>
          </w:tcPr>
          <w:p>
            <w:r/>
            <w:r>
              <w:rPr>
                <w:rFonts w:ascii="Calibri" w:hAnsi="Calibri"/>
                <w:color w:val="212529"/>
                <w:sz w:val="20"/>
              </w:rPr>
              <w:t>R-01</w:t>
            </w:r>
          </w:p>
        </w:tc>
        <w:tc>
          <w:tcPr>
            <w:tcW w:type="dxa" w:w="1824"/>
          </w:tcPr>
          <w:p>
            <w:r/>
            <w:r>
              <w:rPr>
                <w:rFonts w:ascii="Calibri" w:hAnsi="Calibri"/>
                <w:color w:val="212529"/>
                <w:sz w:val="20"/>
              </w:rPr>
              <w:t>Low citizen adoption of digital channels</w:t>
            </w:r>
          </w:p>
        </w:tc>
        <w:tc>
          <w:tcPr>
            <w:tcW w:type="dxa" w:w="1824"/>
          </w:tcPr>
          <w:p>
            <w:r/>
            <w:r>
              <w:rPr>
                <w:rFonts w:ascii="Calibri" w:hAnsi="Calibri"/>
                <w:color w:val="212529"/>
                <w:sz w:val="20"/>
              </w:rPr>
              <w:t>High</w:t>
            </w:r>
          </w:p>
        </w:tc>
        <w:tc>
          <w:tcPr>
            <w:tcW w:type="dxa" w:w="1824"/>
          </w:tcPr>
          <w:p>
            <w:r/>
            <w:r>
              <w:rPr>
                <w:rFonts w:ascii="Calibri" w:hAnsi="Calibri"/>
                <w:color w:val="212529"/>
                <w:sz w:val="20"/>
              </w:rPr>
              <w:t>Medium</w:t>
            </w:r>
          </w:p>
        </w:tc>
        <w:tc>
          <w:tcPr>
            <w:tcW w:type="dxa" w:w="1824"/>
          </w:tcPr>
          <w:p>
            <w:r/>
            <w:r>
              <w:rPr>
                <w:rFonts w:ascii="Calibri" w:hAnsi="Calibri"/>
                <w:color w:val="212529"/>
                <w:sz w:val="20"/>
              </w:rPr>
              <w:t>User awareness campaign, simplified onboarding, ASAN support</w:t>
            </w:r>
          </w:p>
        </w:tc>
      </w:tr>
      <w:tr>
        <w:tc>
          <w:tcPr>
            <w:tcW w:type="dxa" w:w="1824"/>
          </w:tcPr>
          <w:p>
            <w:r/>
            <w:r>
              <w:rPr>
                <w:rFonts w:ascii="Calibri" w:hAnsi="Calibri"/>
                <w:color w:val="212529"/>
                <w:sz w:val="20"/>
              </w:rPr>
              <w:t>R-02</w:t>
            </w:r>
          </w:p>
        </w:tc>
        <w:tc>
          <w:tcPr>
            <w:tcW w:type="dxa" w:w="1824"/>
          </w:tcPr>
          <w:p>
            <w:r/>
            <w:r>
              <w:rPr>
                <w:rFonts w:ascii="Calibri" w:hAnsi="Calibri"/>
                <w:color w:val="212529"/>
                <w:sz w:val="20"/>
              </w:rPr>
              <w:t>Integration delays with government databases</w:t>
            </w:r>
          </w:p>
        </w:tc>
        <w:tc>
          <w:tcPr>
            <w:tcW w:type="dxa" w:w="1824"/>
          </w:tcPr>
          <w:p>
            <w:r/>
            <w:r>
              <w:rPr>
                <w:rFonts w:ascii="Calibri" w:hAnsi="Calibri"/>
                <w:color w:val="212529"/>
                <w:sz w:val="20"/>
              </w:rPr>
              <w:t>High</w:t>
            </w:r>
          </w:p>
        </w:tc>
        <w:tc>
          <w:tcPr>
            <w:tcW w:type="dxa" w:w="1824"/>
          </w:tcPr>
          <w:p>
            <w:r/>
            <w:r>
              <w:rPr>
                <w:rFonts w:ascii="Calibri" w:hAnsi="Calibri"/>
                <w:color w:val="212529"/>
                <w:sz w:val="20"/>
              </w:rPr>
              <w:t>High</w:t>
            </w:r>
          </w:p>
        </w:tc>
        <w:tc>
          <w:tcPr>
            <w:tcW w:type="dxa" w:w="1824"/>
          </w:tcPr>
          <w:p>
            <w:r/>
            <w:r>
              <w:rPr>
                <w:rFonts w:ascii="Calibri" w:hAnsi="Calibri"/>
                <w:color w:val="212529"/>
                <w:sz w:val="20"/>
              </w:rPr>
              <w:t>Early engagement with IT teams, fallback manual process</w:t>
            </w:r>
          </w:p>
        </w:tc>
      </w:tr>
      <w:tr>
        <w:tc>
          <w:tcPr>
            <w:tcW w:type="dxa" w:w="1824"/>
          </w:tcPr>
          <w:p>
            <w:r/>
            <w:r>
              <w:rPr>
                <w:rFonts w:ascii="Calibri" w:hAnsi="Calibri"/>
                <w:color w:val="212529"/>
                <w:sz w:val="20"/>
              </w:rPr>
              <w:t>R-03</w:t>
            </w:r>
          </w:p>
        </w:tc>
        <w:tc>
          <w:tcPr>
            <w:tcW w:type="dxa" w:w="1824"/>
          </w:tcPr>
          <w:p>
            <w:r/>
            <w:r>
              <w:rPr>
                <w:rFonts w:ascii="Calibri" w:hAnsi="Calibri"/>
                <w:color w:val="212529"/>
                <w:sz w:val="20"/>
              </w:rPr>
              <w:t>Data quality issues in existing databases</w:t>
            </w:r>
          </w:p>
        </w:tc>
        <w:tc>
          <w:tcPr>
            <w:tcW w:type="dxa" w:w="1824"/>
          </w:tcPr>
          <w:p>
            <w:r/>
            <w:r>
              <w:rPr>
                <w:rFonts w:ascii="Calibri" w:hAnsi="Calibri"/>
                <w:color w:val="212529"/>
                <w:sz w:val="20"/>
              </w:rPr>
              <w:t>Medium</w:t>
            </w:r>
          </w:p>
        </w:tc>
        <w:tc>
          <w:tcPr>
            <w:tcW w:type="dxa" w:w="1824"/>
          </w:tcPr>
          <w:p>
            <w:r/>
            <w:r>
              <w:rPr>
                <w:rFonts w:ascii="Calibri" w:hAnsi="Calibri"/>
                <w:color w:val="212529"/>
                <w:sz w:val="20"/>
              </w:rPr>
              <w:t>High</w:t>
            </w:r>
          </w:p>
        </w:tc>
        <w:tc>
          <w:tcPr>
            <w:tcW w:type="dxa" w:w="1824"/>
          </w:tcPr>
          <w:p>
            <w:r/>
            <w:r>
              <w:rPr>
                <w:rFonts w:ascii="Calibri" w:hAnsi="Calibri"/>
                <w:color w:val="212529"/>
                <w:sz w:val="20"/>
              </w:rPr>
              <w:t>Data cleansing before migration, validation rules</w:t>
            </w:r>
          </w:p>
        </w:tc>
      </w:tr>
      <w:tr>
        <w:tc>
          <w:tcPr>
            <w:tcW w:type="dxa" w:w="1824"/>
          </w:tcPr>
          <w:p>
            <w:r/>
            <w:r>
              <w:rPr>
                <w:rFonts w:ascii="Calibri" w:hAnsi="Calibri"/>
                <w:color w:val="212529"/>
                <w:sz w:val="20"/>
              </w:rPr>
              <w:t>R-04</w:t>
            </w:r>
          </w:p>
        </w:tc>
        <w:tc>
          <w:tcPr>
            <w:tcW w:type="dxa" w:w="1824"/>
          </w:tcPr>
          <w:p>
            <w:r/>
            <w:r>
              <w:rPr>
                <w:rFonts w:ascii="Calibri" w:hAnsi="Calibri"/>
                <w:color w:val="212529"/>
                <w:sz w:val="20"/>
              </w:rPr>
              <w:t>Staff resistance to new processes</w:t>
            </w:r>
          </w:p>
        </w:tc>
        <w:tc>
          <w:tcPr>
            <w:tcW w:type="dxa" w:w="1824"/>
          </w:tcPr>
          <w:p>
            <w:r/>
            <w:r>
              <w:rPr>
                <w:rFonts w:ascii="Calibri" w:hAnsi="Calibri"/>
                <w:color w:val="212529"/>
                <w:sz w:val="20"/>
              </w:rPr>
              <w:t>Medium</w:t>
            </w:r>
          </w:p>
        </w:tc>
        <w:tc>
          <w:tcPr>
            <w:tcW w:type="dxa" w:w="1824"/>
          </w:tcPr>
          <w:p>
            <w:r/>
            <w:r>
              <w:rPr>
                <w:rFonts w:ascii="Calibri" w:hAnsi="Calibri"/>
                <w:color w:val="212529"/>
                <w:sz w:val="20"/>
              </w:rPr>
              <w:t>Medium</w:t>
            </w:r>
          </w:p>
        </w:tc>
        <w:tc>
          <w:tcPr>
            <w:tcW w:type="dxa" w:w="1824"/>
          </w:tcPr>
          <w:p>
            <w:r/>
            <w:r>
              <w:rPr>
                <w:rFonts w:ascii="Calibri" w:hAnsi="Calibri"/>
                <w:color w:val="212529"/>
                <w:sz w:val="20"/>
              </w:rPr>
              <w:t>Change management program, training, phased rollout</w:t>
            </w:r>
          </w:p>
        </w:tc>
      </w:tr>
      <w:tr>
        <w:tc>
          <w:tcPr>
            <w:tcW w:type="dxa" w:w="1824"/>
          </w:tcPr>
          <w:p>
            <w:r/>
            <w:r>
              <w:rPr>
                <w:rFonts w:ascii="Calibri" w:hAnsi="Calibri"/>
                <w:color w:val="212529"/>
                <w:sz w:val="20"/>
              </w:rPr>
              <w:t>R-05</w:t>
            </w:r>
          </w:p>
        </w:tc>
        <w:tc>
          <w:tcPr>
            <w:tcW w:type="dxa" w:w="1824"/>
          </w:tcPr>
          <w:p>
            <w:r/>
            <w:r>
              <w:rPr>
                <w:rFonts w:ascii="Calibri" w:hAnsi="Calibri"/>
                <w:color w:val="212529"/>
                <w:sz w:val="20"/>
              </w:rPr>
              <w:t>System performance under high load</w:t>
            </w:r>
          </w:p>
        </w:tc>
        <w:tc>
          <w:tcPr>
            <w:tcW w:type="dxa" w:w="1824"/>
          </w:tcPr>
          <w:p>
            <w:r/>
            <w:r>
              <w:rPr>
                <w:rFonts w:ascii="Calibri" w:hAnsi="Calibri"/>
                <w:color w:val="212529"/>
                <w:sz w:val="20"/>
              </w:rPr>
              <w:t>Medium</w:t>
            </w:r>
          </w:p>
        </w:tc>
        <w:tc>
          <w:tcPr>
            <w:tcW w:type="dxa" w:w="1824"/>
          </w:tcPr>
          <w:p>
            <w:r/>
            <w:r>
              <w:rPr>
                <w:rFonts w:ascii="Calibri" w:hAnsi="Calibri"/>
                <w:color w:val="212529"/>
                <w:sz w:val="20"/>
              </w:rPr>
              <w:t>High</w:t>
            </w:r>
          </w:p>
        </w:tc>
        <w:tc>
          <w:tcPr>
            <w:tcW w:type="dxa" w:w="1824"/>
          </w:tcPr>
          <w:p>
            <w:r/>
            <w:r>
              <w:rPr>
                <w:rFonts w:ascii="Calibri" w:hAnsi="Calibri"/>
                <w:color w:val="212529"/>
                <w:sz w:val="20"/>
              </w:rPr>
              <w:t>Load testing, scalable architecture, caching strategy</w:t>
            </w:r>
          </w:p>
        </w:tc>
      </w:tr>
      <w:tr>
        <w:tc>
          <w:tcPr>
            <w:tcW w:type="dxa" w:w="1824"/>
          </w:tcPr>
          <w:p>
            <w:r/>
            <w:r>
              <w:rPr>
                <w:rFonts w:ascii="Calibri" w:hAnsi="Calibri"/>
                <w:color w:val="212529"/>
                <w:sz w:val="20"/>
              </w:rPr>
              <w:t>R-06</w:t>
            </w:r>
          </w:p>
        </w:tc>
        <w:tc>
          <w:tcPr>
            <w:tcW w:type="dxa" w:w="1824"/>
          </w:tcPr>
          <w:p>
            <w:r/>
            <w:r>
              <w:rPr>
                <w:rFonts w:ascii="Calibri" w:hAnsi="Calibri"/>
                <w:color w:val="212529"/>
                <w:sz w:val="20"/>
              </w:rPr>
              <w:t>Regulatory changes during implementation</w:t>
            </w:r>
          </w:p>
        </w:tc>
        <w:tc>
          <w:tcPr>
            <w:tcW w:type="dxa" w:w="1824"/>
          </w:tcPr>
          <w:p>
            <w:r/>
            <w:r>
              <w:rPr>
                <w:rFonts w:ascii="Calibri" w:hAnsi="Calibri"/>
                <w:color w:val="212529"/>
                <w:sz w:val="20"/>
              </w:rPr>
              <w:t>Low</w:t>
            </w:r>
          </w:p>
        </w:tc>
        <w:tc>
          <w:tcPr>
            <w:tcW w:type="dxa" w:w="1824"/>
          </w:tcPr>
          <w:p>
            <w:r/>
            <w:r>
              <w:rPr>
                <w:rFonts w:ascii="Calibri" w:hAnsi="Calibri"/>
                <w:color w:val="212529"/>
                <w:sz w:val="20"/>
              </w:rPr>
              <w:t>Medium</w:t>
            </w:r>
          </w:p>
        </w:tc>
        <w:tc>
          <w:tcPr>
            <w:tcW w:type="dxa" w:w="1824"/>
          </w:tcPr>
          <w:p>
            <w:r/>
            <w:r>
              <w:rPr>
                <w:rFonts w:ascii="Calibri" w:hAnsi="Calibri"/>
                <w:color w:val="212529"/>
                <w:sz w:val="20"/>
              </w:rPr>
              <w:t>Regular policy review, flexible process design</w:t>
            </w:r>
          </w:p>
        </w:tc>
      </w:tr>
    </w:tbl>
    <w:p/>
    <w:p>
      <w:pPr>
        <w:pStyle w:val="Heading1"/>
      </w:pPr>
      <w:r>
        <w:rPr>
          <w:rFonts w:ascii="Calibri" w:hAnsi="Calibri"/>
          <w:color w:val="005A9C"/>
          <w:sz w:val="32"/>
        </w:rPr>
        <w:t>15. Appendix: Glossary</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Term</w:t>
            </w:r>
          </w:p>
        </w:tc>
        <w:tc>
          <w:tcPr>
            <w:tcW w:type="dxa" w:w="4561"/>
            <w:shd w:fill="005A9C" w:val="clear"/>
          </w:tcPr>
          <w:p>
            <w:r/>
            <w:r>
              <w:rPr>
                <w:rFonts w:ascii="Calibri" w:hAnsi="Calibri"/>
                <w:b/>
                <w:color w:val="FFFFFF"/>
                <w:sz w:val="20"/>
              </w:rPr>
              <w:t>Definition</w:t>
            </w:r>
          </w:p>
        </w:tc>
      </w:tr>
      <w:tr>
        <w:tc>
          <w:tcPr>
            <w:tcW w:type="dxa" w:w="4561"/>
          </w:tcPr>
          <w:p>
            <w:r/>
            <w:r>
              <w:rPr>
                <w:rFonts w:ascii="Calibri" w:hAnsi="Calibri"/>
                <w:color w:val="212529"/>
                <w:sz w:val="20"/>
              </w:rPr>
              <w:t>LMAS</w:t>
            </w:r>
          </w:p>
        </w:tc>
        <w:tc>
          <w:tcPr>
            <w:tcW w:type="dxa" w:w="4561"/>
          </w:tcPr>
          <w:p>
            <w:r/>
            <w:r>
              <w:rPr>
                <w:rFonts w:ascii="Calibri" w:hAnsi="Calibri"/>
                <w:color w:val="212529"/>
                <w:sz w:val="20"/>
              </w:rPr>
              <w:t>Labour and Employment Subsystem - the digital employment service system</w:t>
            </w:r>
          </w:p>
        </w:tc>
      </w:tr>
      <w:tr>
        <w:tc>
          <w:tcPr>
            <w:tcW w:type="dxa" w:w="4561"/>
          </w:tcPr>
          <w:p>
            <w:r/>
            <w:r>
              <w:rPr>
                <w:rFonts w:ascii="Calibri" w:hAnsi="Calibri"/>
                <w:color w:val="212529"/>
                <w:sz w:val="20"/>
              </w:rPr>
              <w:t>SLA</w:t>
            </w:r>
          </w:p>
        </w:tc>
        <w:tc>
          <w:tcPr>
            <w:tcW w:type="dxa" w:w="4561"/>
          </w:tcPr>
          <w:p>
            <w:r/>
            <w:r>
              <w:rPr>
                <w:rFonts w:ascii="Calibri" w:hAnsi="Calibri"/>
                <w:color w:val="212529"/>
                <w:sz w:val="20"/>
              </w:rPr>
              <w:t>Service Level Agreement - defined performance targets for service delivery</w:t>
            </w:r>
          </w:p>
        </w:tc>
      </w:tr>
      <w:tr>
        <w:tc>
          <w:tcPr>
            <w:tcW w:type="dxa" w:w="4561"/>
          </w:tcPr>
          <w:p>
            <w:r/>
            <w:r>
              <w:rPr>
                <w:rFonts w:ascii="Calibri" w:hAnsi="Calibri"/>
                <w:color w:val="212529"/>
                <w:sz w:val="20"/>
              </w:rPr>
              <w:t>KPI</w:t>
            </w:r>
          </w:p>
        </w:tc>
        <w:tc>
          <w:tcPr>
            <w:tcW w:type="dxa" w:w="4561"/>
          </w:tcPr>
          <w:p>
            <w:r/>
            <w:r>
              <w:rPr>
                <w:rFonts w:ascii="Calibri" w:hAnsi="Calibri"/>
                <w:color w:val="212529"/>
                <w:sz w:val="20"/>
              </w:rPr>
              <w:t>Key Performance Indicator - measurable value that shows service performance</w:t>
            </w:r>
          </w:p>
        </w:tc>
      </w:tr>
      <w:tr>
        <w:tc>
          <w:tcPr>
            <w:tcW w:type="dxa" w:w="4561"/>
          </w:tcPr>
          <w:p>
            <w:r/>
            <w:r>
              <w:rPr>
                <w:rFonts w:ascii="Calibri" w:hAnsi="Calibri"/>
                <w:color w:val="212529"/>
                <w:sz w:val="20"/>
              </w:rPr>
              <w:t>As-Is</w:t>
            </w:r>
          </w:p>
        </w:tc>
        <w:tc>
          <w:tcPr>
            <w:tcW w:type="dxa" w:w="4561"/>
          </w:tcPr>
          <w:p>
            <w:r/>
            <w:r>
              <w:rPr>
                <w:rFonts w:ascii="Calibri" w:hAnsi="Calibri"/>
                <w:color w:val="212529"/>
                <w:sz w:val="20"/>
              </w:rPr>
              <w:t>Current state of a process before redesign</w:t>
            </w:r>
          </w:p>
        </w:tc>
      </w:tr>
      <w:tr>
        <w:tc>
          <w:tcPr>
            <w:tcW w:type="dxa" w:w="4561"/>
          </w:tcPr>
          <w:p>
            <w:r/>
            <w:r>
              <w:rPr>
                <w:rFonts w:ascii="Calibri" w:hAnsi="Calibri"/>
                <w:color w:val="212529"/>
                <w:sz w:val="20"/>
              </w:rPr>
              <w:t>To-Be</w:t>
            </w:r>
          </w:p>
        </w:tc>
        <w:tc>
          <w:tcPr>
            <w:tcW w:type="dxa" w:w="4561"/>
          </w:tcPr>
          <w:p>
            <w:r/>
            <w:r>
              <w:rPr>
                <w:rFonts w:ascii="Calibri" w:hAnsi="Calibri"/>
                <w:color w:val="212529"/>
                <w:sz w:val="20"/>
              </w:rPr>
              <w:t>Future state of a process after redesign</w:t>
            </w:r>
          </w:p>
        </w:tc>
      </w:tr>
      <w:tr>
        <w:tc>
          <w:tcPr>
            <w:tcW w:type="dxa" w:w="4561"/>
          </w:tcPr>
          <w:p>
            <w:r/>
            <w:r>
              <w:rPr>
                <w:rFonts w:ascii="Calibri" w:hAnsi="Calibri"/>
                <w:color w:val="212529"/>
                <w:sz w:val="20"/>
              </w:rPr>
              <w:t>BPMN</w:t>
            </w:r>
          </w:p>
        </w:tc>
        <w:tc>
          <w:tcPr>
            <w:tcW w:type="dxa" w:w="4561"/>
          </w:tcPr>
          <w:p>
            <w:r/>
            <w:r>
              <w:rPr>
                <w:rFonts w:ascii="Calibri" w:hAnsi="Calibri"/>
                <w:color w:val="212529"/>
                <w:sz w:val="20"/>
              </w:rPr>
              <w:t>Business Process Model and Notation - standard for process modeling</w:t>
            </w:r>
          </w:p>
        </w:tc>
      </w:tr>
      <w:tr>
        <w:tc>
          <w:tcPr>
            <w:tcW w:type="dxa" w:w="4561"/>
          </w:tcPr>
          <w:p>
            <w:r/>
            <w:r>
              <w:rPr>
                <w:rFonts w:ascii="Calibri" w:hAnsi="Calibri"/>
                <w:color w:val="212529"/>
                <w:sz w:val="20"/>
              </w:rPr>
              <w:t>Life-event</w:t>
            </w:r>
          </w:p>
        </w:tc>
        <w:tc>
          <w:tcPr>
            <w:tcW w:type="dxa" w:w="4561"/>
          </w:tcPr>
          <w:p>
            <w:r/>
            <w:r>
              <w:rPr>
                <w:rFonts w:ascii="Calibri" w:hAnsi="Calibri"/>
                <w:color w:val="212529"/>
                <w:sz w:val="20"/>
              </w:rPr>
              <w:t>A significant event in citizen life around which services are grouped</w:t>
            </w:r>
          </w:p>
        </w:tc>
      </w:tr>
      <w:tr>
        <w:tc>
          <w:tcPr>
            <w:tcW w:type="dxa" w:w="4561"/>
          </w:tcPr>
          <w:p>
            <w:r/>
            <w:r>
              <w:rPr>
                <w:rFonts w:ascii="Calibri" w:hAnsi="Calibri"/>
                <w:color w:val="212529"/>
                <w:sz w:val="20"/>
              </w:rPr>
              <w:t>Single-window</w:t>
            </w:r>
          </w:p>
        </w:tc>
        <w:tc>
          <w:tcPr>
            <w:tcW w:type="dxa" w:w="4561"/>
          </w:tcPr>
          <w:p>
            <w:r/>
            <w:r>
              <w:rPr>
                <w:rFonts w:ascii="Calibri" w:hAnsi="Calibri"/>
                <w:color w:val="212529"/>
                <w:sz w:val="20"/>
              </w:rPr>
              <w:t>A unified access point for multiple government services</w:t>
            </w:r>
          </w:p>
        </w:tc>
      </w:tr>
      <w:tr>
        <w:tc>
          <w:tcPr>
            <w:tcW w:type="dxa" w:w="4561"/>
          </w:tcPr>
          <w:p>
            <w:r/>
            <w:r>
              <w:rPr>
                <w:rFonts w:ascii="Calibri" w:hAnsi="Calibri"/>
                <w:color w:val="212529"/>
                <w:sz w:val="20"/>
              </w:rPr>
              <w:t>Touchpoint</w:t>
            </w:r>
          </w:p>
        </w:tc>
        <w:tc>
          <w:tcPr>
            <w:tcW w:type="dxa" w:w="4561"/>
          </w:tcPr>
          <w:p>
            <w:r/>
            <w:r>
              <w:rPr>
                <w:rFonts w:ascii="Calibri" w:hAnsi="Calibri"/>
                <w:color w:val="212529"/>
                <w:sz w:val="20"/>
              </w:rPr>
              <w:t>Any interaction point between the citizen and the service</w:t>
            </w:r>
          </w:p>
        </w:tc>
      </w:tr>
      <w:tr>
        <w:tc>
          <w:tcPr>
            <w:tcW w:type="dxa" w:w="4561"/>
          </w:tcPr>
          <w:p>
            <w:r/>
            <w:r>
              <w:rPr>
                <w:rFonts w:ascii="Calibri" w:hAnsi="Calibri"/>
                <w:color w:val="212529"/>
                <w:sz w:val="20"/>
              </w:rPr>
              <w:t>Service Blueprint</w:t>
            </w:r>
          </w:p>
        </w:tc>
        <w:tc>
          <w:tcPr>
            <w:tcW w:type="dxa" w:w="4561"/>
          </w:tcPr>
          <w:p>
            <w:r/>
            <w:r>
              <w:rPr>
                <w:rFonts w:ascii="Calibri" w:hAnsi="Calibri"/>
                <w:color w:val="212529"/>
                <w:sz w:val="20"/>
              </w:rPr>
              <w:t>A diagram that shows the relationship between service components</w:t>
            </w:r>
          </w:p>
        </w:tc>
      </w:tr>
      <w:tr>
        <w:tc>
          <w:tcPr>
            <w:tcW w:type="dxa" w:w="4561"/>
          </w:tcPr>
          <w:p>
            <w:r/>
            <w:r>
              <w:rPr>
                <w:rFonts w:ascii="Calibri" w:hAnsi="Calibri"/>
                <w:color w:val="212529"/>
                <w:sz w:val="20"/>
              </w:rPr>
              <w:t>Service Portfolio</w:t>
            </w:r>
          </w:p>
        </w:tc>
        <w:tc>
          <w:tcPr>
            <w:tcW w:type="dxa" w:w="4561"/>
          </w:tcPr>
          <w:p>
            <w:r/>
            <w:r>
              <w:rPr>
                <w:rFonts w:ascii="Calibri" w:hAnsi="Calibri"/>
                <w:color w:val="212529"/>
                <w:sz w:val="20"/>
              </w:rPr>
              <w:t>The complete set of services offered by an organization</w:t>
            </w:r>
          </w:p>
        </w:tc>
      </w:tr>
      <w:tr>
        <w:tc>
          <w:tcPr>
            <w:tcW w:type="dxa" w:w="4561"/>
          </w:tcPr>
          <w:p>
            <w:r/>
            <w:r>
              <w:rPr>
                <w:rFonts w:ascii="Calibri" w:hAnsi="Calibri"/>
                <w:color w:val="212529"/>
                <w:sz w:val="20"/>
              </w:rPr>
              <w:t>Process Architecture</w:t>
            </w:r>
          </w:p>
        </w:tc>
        <w:tc>
          <w:tcPr>
            <w:tcW w:type="dxa" w:w="4561"/>
          </w:tcPr>
          <w:p>
            <w:r/>
            <w:r>
              <w:rPr>
                <w:rFonts w:ascii="Calibri" w:hAnsi="Calibri"/>
                <w:color w:val="212529"/>
                <w:sz w:val="20"/>
              </w:rPr>
              <w:t>The structural design of processes across an organization</w:t>
            </w:r>
          </w:p>
        </w:tc>
      </w:tr>
    </w:tbl>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