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02C27" w14:textId="77777777" w:rsidR="00E04DB8" w:rsidRDefault="00000000">
      <w:pPr>
        <w:spacing w:after="40" w:line="259" w:lineRule="auto"/>
        <w:jc w:val="center"/>
      </w:pPr>
      <w:proofErr w:type="spellStart"/>
      <w:r>
        <w:rPr>
          <w:b/>
          <w:sz w:val="30"/>
        </w:rPr>
        <w:t>CVaR</w:t>
      </w:r>
      <w:proofErr w:type="spellEnd"/>
      <w:r>
        <w:rPr>
          <w:b/>
          <w:sz w:val="30"/>
        </w:rPr>
        <w:t xml:space="preserve">-Based Portfolio </w:t>
      </w:r>
      <w:proofErr w:type="spellStart"/>
      <w:r>
        <w:rPr>
          <w:b/>
          <w:sz w:val="30"/>
        </w:rPr>
        <w:t>Optimisation</w:t>
      </w:r>
      <w:proofErr w:type="spellEnd"/>
      <w:r>
        <w:rPr>
          <w:b/>
          <w:sz w:val="30"/>
        </w:rPr>
        <w:t xml:space="preserve"> for a Malta-Accessible UCITS ETF Basket</w:t>
      </w:r>
    </w:p>
    <w:p w14:paraId="28EAA71E" w14:textId="77777777" w:rsidR="00E04DB8" w:rsidRDefault="00000000">
      <w:pPr>
        <w:spacing w:after="20" w:line="259" w:lineRule="auto"/>
        <w:jc w:val="center"/>
      </w:pPr>
      <w:r>
        <w:rPr>
          <w:b/>
        </w:rPr>
        <w:t>Abdirizak Hassan Osman</w:t>
      </w:r>
    </w:p>
    <w:p w14:paraId="4DB94041" w14:textId="77777777" w:rsidR="00C82801" w:rsidRDefault="00000000" w:rsidP="00791D35">
      <w:pPr>
        <w:spacing w:after="40" w:line="259" w:lineRule="auto"/>
        <w:jc w:val="center"/>
        <w:rPr>
          <w:sz w:val="20"/>
        </w:rPr>
      </w:pPr>
      <w:r>
        <w:rPr>
          <w:sz w:val="20"/>
        </w:rPr>
        <w:t>Institute of Information &amp; Communication Technology</w:t>
      </w:r>
      <w:r>
        <w:rPr>
          <w:sz w:val="20"/>
        </w:rPr>
        <w:br/>
        <w:t>Malta College of Arts, Science &amp; Technology (MCAST)</w:t>
      </w:r>
    </w:p>
    <w:p w14:paraId="4EED5EFC" w14:textId="1C3F9163" w:rsidR="00E04DB8" w:rsidRDefault="00000000" w:rsidP="00791D35">
      <w:pPr>
        <w:spacing w:after="40" w:line="259" w:lineRule="auto"/>
        <w:jc w:val="center"/>
        <w:sectPr w:rsidR="00E04DB8">
          <w:pgSz w:w="11906" w:h="16838"/>
          <w:pgMar w:top="1020" w:right="1020" w:bottom="1020" w:left="1020" w:header="720" w:footer="720" w:gutter="0"/>
          <w:cols w:space="720"/>
          <w:docGrid w:linePitch="360"/>
        </w:sectPr>
      </w:pPr>
      <w:r>
        <w:rPr>
          <w:sz w:val="20"/>
        </w:rPr>
        <w:br/>
      </w:r>
    </w:p>
    <w:p w14:paraId="75A5894E" w14:textId="6CD521AB" w:rsidR="00C82801" w:rsidRPr="00C82801" w:rsidRDefault="00C82801" w:rsidP="00C82801">
      <w:pPr>
        <w:spacing w:after="100" w:line="259" w:lineRule="auto"/>
        <w:rPr>
          <w:b/>
          <w:sz w:val="22"/>
          <w:lang w:val="en-GB"/>
        </w:rPr>
      </w:pPr>
      <w:r w:rsidRPr="00C82801">
        <w:rPr>
          <w:b/>
          <w:sz w:val="22"/>
          <w:lang w:val="en-GB"/>
        </w:rPr>
        <w:t xml:space="preserve">Abstract—This paper examines </w:t>
      </w:r>
      <w:proofErr w:type="spellStart"/>
      <w:r w:rsidRPr="00C82801">
        <w:rPr>
          <w:b/>
          <w:sz w:val="22"/>
          <w:lang w:val="en-GB"/>
        </w:rPr>
        <w:t>CVaR</w:t>
      </w:r>
      <w:proofErr w:type="spellEnd"/>
      <w:r w:rsidRPr="00C82801">
        <w:rPr>
          <w:b/>
          <w:sz w:val="22"/>
          <w:lang w:val="en-GB"/>
        </w:rPr>
        <w:t xml:space="preserve">-based portfolio optimisation for a Malta-accessible UCITS ETF basket, focusing on whether a simple downside-risk optimisation framework can improve risk control compared with Equal-Weight and Minimum-Variance benchmarks. The aim is to evaluate the three strategies under identical long-only and fully invested conditions using historical ETF market-price data converted to EUR. The proposed solution implements a Python-based rolling out-of-sample </w:t>
      </w:r>
      <w:proofErr w:type="spellStart"/>
      <w:r w:rsidRPr="00C82801">
        <w:rPr>
          <w:b/>
          <w:sz w:val="22"/>
          <w:lang w:val="en-GB"/>
        </w:rPr>
        <w:t>backtest</w:t>
      </w:r>
      <w:proofErr w:type="spellEnd"/>
      <w:r w:rsidRPr="00C82801">
        <w:rPr>
          <w:b/>
          <w:sz w:val="22"/>
          <w:lang w:val="en-GB"/>
        </w:rPr>
        <w:t xml:space="preserve"> with a 252-trading-day estimation window, 21-trading-day rebalancing, and performance evaluation using CAGR, volatility, Sharpe ratio, </w:t>
      </w:r>
      <w:proofErr w:type="spellStart"/>
      <w:r w:rsidRPr="00C82801">
        <w:rPr>
          <w:b/>
          <w:sz w:val="22"/>
          <w:lang w:val="en-GB"/>
        </w:rPr>
        <w:t>Sortino</w:t>
      </w:r>
      <w:proofErr w:type="spellEnd"/>
      <w:r w:rsidRPr="00C82801">
        <w:rPr>
          <w:b/>
          <w:sz w:val="22"/>
          <w:lang w:val="en-GB"/>
        </w:rPr>
        <w:t xml:space="preserve"> ratio, </w:t>
      </w:r>
      <w:proofErr w:type="spellStart"/>
      <w:r w:rsidRPr="00C82801">
        <w:rPr>
          <w:b/>
          <w:sz w:val="22"/>
          <w:lang w:val="en-GB"/>
        </w:rPr>
        <w:t>VaR</w:t>
      </w:r>
      <w:proofErr w:type="spellEnd"/>
      <w:r w:rsidRPr="00C82801">
        <w:rPr>
          <w:b/>
          <w:sz w:val="22"/>
          <w:lang w:val="en-GB"/>
        </w:rPr>
        <w:t xml:space="preserve">, </w:t>
      </w:r>
      <w:proofErr w:type="spellStart"/>
      <w:r w:rsidRPr="00C82801">
        <w:rPr>
          <w:b/>
          <w:sz w:val="22"/>
          <w:lang w:val="en-GB"/>
        </w:rPr>
        <w:t>CVaR</w:t>
      </w:r>
      <w:proofErr w:type="spellEnd"/>
      <w:r w:rsidRPr="00C82801">
        <w:rPr>
          <w:b/>
          <w:sz w:val="22"/>
          <w:lang w:val="en-GB"/>
        </w:rPr>
        <w:t xml:space="preserve">, and maximum drawdown. The results show that CVaR-95 achieved the lowest </w:t>
      </w:r>
      <w:proofErr w:type="spellStart"/>
      <w:r w:rsidRPr="00C82801">
        <w:rPr>
          <w:b/>
          <w:sz w:val="22"/>
          <w:lang w:val="en-GB"/>
        </w:rPr>
        <w:t>VaR</w:t>
      </w:r>
      <w:proofErr w:type="spellEnd"/>
      <w:r w:rsidRPr="00C82801">
        <w:rPr>
          <w:b/>
          <w:sz w:val="22"/>
          <w:lang w:val="en-GB"/>
        </w:rPr>
        <w:t xml:space="preserve"> and </w:t>
      </w:r>
      <w:proofErr w:type="spellStart"/>
      <w:r w:rsidRPr="00C82801">
        <w:rPr>
          <w:b/>
          <w:sz w:val="22"/>
          <w:lang w:val="en-GB"/>
        </w:rPr>
        <w:t>CVaR</w:t>
      </w:r>
      <w:proofErr w:type="spellEnd"/>
      <w:r w:rsidRPr="00C82801">
        <w:rPr>
          <w:b/>
          <w:sz w:val="22"/>
          <w:lang w:val="en-GB"/>
        </w:rPr>
        <w:t xml:space="preserve">, but Equal-Weight delivered the strongest CAGR and Sharpe ratio, while Minimum-Variance achieved the lowest maximum drawdown; therefore, the hypothesis is only partially supported. The project was implemented using Python, </w:t>
      </w:r>
      <w:proofErr w:type="spellStart"/>
      <w:r w:rsidRPr="00C82801">
        <w:rPr>
          <w:b/>
          <w:sz w:val="22"/>
          <w:lang w:val="en-GB"/>
        </w:rPr>
        <w:t>Jupyter</w:t>
      </w:r>
      <w:proofErr w:type="spellEnd"/>
      <w:r w:rsidRPr="00C82801">
        <w:rPr>
          <w:b/>
          <w:sz w:val="22"/>
          <w:lang w:val="en-GB"/>
        </w:rPr>
        <w:t xml:space="preserve"> Notebook, pandas, NumPy, SciPy, CVXPY, and </w:t>
      </w:r>
      <w:proofErr w:type="spellStart"/>
      <w:r w:rsidRPr="00C82801">
        <w:rPr>
          <w:b/>
          <w:sz w:val="22"/>
          <w:lang w:val="en-GB"/>
        </w:rPr>
        <w:t>yfinance</w:t>
      </w:r>
      <w:proofErr w:type="spellEnd"/>
      <w:r w:rsidRPr="00C82801">
        <w:rPr>
          <w:b/>
          <w:sz w:val="22"/>
          <w:lang w:val="en-GB"/>
        </w:rPr>
        <w:t xml:space="preserve">-based historical data, with rolling-window </w:t>
      </w:r>
      <w:proofErr w:type="spellStart"/>
      <w:r w:rsidRPr="00C82801">
        <w:rPr>
          <w:b/>
          <w:sz w:val="22"/>
          <w:lang w:val="en-GB"/>
        </w:rPr>
        <w:t>backtesting</w:t>
      </w:r>
      <w:proofErr w:type="spellEnd"/>
      <w:r w:rsidRPr="00C82801">
        <w:rPr>
          <w:b/>
          <w:sz w:val="22"/>
          <w:lang w:val="en-GB"/>
        </w:rPr>
        <w:t xml:space="preserve">, long-only optimisation, and </w:t>
      </w:r>
      <w:proofErr w:type="spellStart"/>
      <w:r w:rsidRPr="00C82801">
        <w:rPr>
          <w:b/>
          <w:sz w:val="22"/>
          <w:lang w:val="en-GB"/>
        </w:rPr>
        <w:t>CVaR</w:t>
      </w:r>
      <w:proofErr w:type="spellEnd"/>
      <w:r w:rsidRPr="00C82801">
        <w:rPr>
          <w:b/>
          <w:sz w:val="22"/>
          <w:lang w:val="en-GB"/>
        </w:rPr>
        <w:t xml:space="preserve"> sensitivity analysis as the main techniques.</w:t>
      </w:r>
    </w:p>
    <w:p w14:paraId="6A917443" w14:textId="77777777" w:rsidR="00C82801" w:rsidRPr="00C82801" w:rsidRDefault="00C82801" w:rsidP="00C82801">
      <w:pPr>
        <w:spacing w:after="100" w:line="259" w:lineRule="auto"/>
        <w:rPr>
          <w:b/>
          <w:sz w:val="22"/>
          <w:lang w:val="en-GB"/>
        </w:rPr>
      </w:pPr>
      <w:r w:rsidRPr="00C82801">
        <w:rPr>
          <w:b/>
          <w:sz w:val="22"/>
          <w:lang w:val="en-GB"/>
        </w:rPr>
        <w:t>Index Terms—</w:t>
      </w:r>
      <w:proofErr w:type="spellStart"/>
      <w:r w:rsidRPr="00C82801">
        <w:rPr>
          <w:b/>
          <w:sz w:val="22"/>
          <w:lang w:val="en-GB"/>
        </w:rPr>
        <w:t>CVaR</w:t>
      </w:r>
      <w:proofErr w:type="spellEnd"/>
      <w:r w:rsidRPr="00C82801">
        <w:rPr>
          <w:b/>
          <w:sz w:val="22"/>
          <w:lang w:val="en-GB"/>
        </w:rPr>
        <w:t xml:space="preserve">, portfolio optimisation, UCITS ETFs, Equal-Weight, Minimum-Variance, rolling </w:t>
      </w:r>
      <w:proofErr w:type="spellStart"/>
      <w:r w:rsidRPr="00C82801">
        <w:rPr>
          <w:b/>
          <w:sz w:val="22"/>
          <w:lang w:val="en-GB"/>
        </w:rPr>
        <w:t>backtesting</w:t>
      </w:r>
      <w:proofErr w:type="spellEnd"/>
      <w:r w:rsidRPr="00C82801">
        <w:rPr>
          <w:b/>
          <w:sz w:val="22"/>
          <w:lang w:val="en-GB"/>
        </w:rPr>
        <w:t>, Python.</w:t>
      </w:r>
    </w:p>
    <w:p w14:paraId="07DD9768" w14:textId="77777777" w:rsidR="00C82801" w:rsidRDefault="00C82801">
      <w:pPr>
        <w:spacing w:after="100" w:line="259" w:lineRule="auto"/>
        <w:rPr>
          <w:b/>
          <w:sz w:val="22"/>
        </w:rPr>
      </w:pPr>
    </w:p>
    <w:p w14:paraId="0361C663" w14:textId="6AD85263" w:rsidR="00E04DB8" w:rsidRDefault="00000000">
      <w:pPr>
        <w:spacing w:after="100" w:line="259" w:lineRule="auto"/>
      </w:pPr>
      <w:r>
        <w:rPr>
          <w:b/>
          <w:sz w:val="22"/>
        </w:rPr>
        <w:t>I. INTRODUCTION</w:t>
      </w:r>
    </w:p>
    <w:p w14:paraId="59047976" w14:textId="61129001" w:rsidR="00E04DB8" w:rsidRDefault="00000000">
      <w:pPr>
        <w:spacing w:after="80" w:line="259" w:lineRule="auto"/>
        <w:jc w:val="both"/>
      </w:pPr>
      <w:r>
        <w:t xml:space="preserve">Recent market crises, including the COVID-19 shock, have renewed criticism of classical portfolio theory. Although the mean-variance (MV) framework remains foundational, variance treats upside and downside deviations symmetrically and therefore does not isolate severe losses in the way downside-focused investors typically require </w:t>
      </w:r>
      <w:r w:rsidR="00677C93">
        <w:fldChar w:fldCharType="begin"/>
      </w:r>
      <w:r w:rsidR="00677C93">
        <w:instrText xml:space="preserve"> ADDIN ZOTERO_ITEM CSL_CITATION {"citationID":"puRhpYgI","properties":{"unsorted":false,"formattedCitation":"[1]","plainCitation":"[1]","noteIndex":0},"citationItems":[{"id":58,"uris":["http://zotero.org/users/19988420/items/SFFD6JZU"],"itemData":{"id":58,"type":"article-journal","abstract":"This paper compares the results of two formulations of the portfolio optimization problem, based on the same target return, but using different risk metrics: (i) the standard-deviation-of-returns, and (ii) the CVaR. The analysis reveals that both formulations yield portfolios that are markedly different in terms of their asset allocation percentages, yet remarkably similar in terms of their respective risk profiles. In short, given a specific riskreturn target, numerous asset allocation combinations can satisfy such target. The findings, based on historical data covering a twenty-year period (which included two severe crises, subprime and COVID), prove robust across several tests (e.g., different time windows, different market segments). These results corroborate, albeit from a different perspective, the lack of stability that has been reported in relation to the conventional portfolio optimization framework, regardless of the risk metric employed. Additionally, and more importantly, they suggest the possibility of incorporating other constraints into the optimization formulation without compromising the risk-return balance.","container-title":"Finance Research Open","DOI":"10.1016/j.finr.2026.100098","ISSN":"30507006","issue":"1","journalAbbreviation":"Finance Research Open","language":"en","page":"100098","source":"DOI.org (Crossref)","title":"Portfolio optimization: Do risk metrics matter?","title-short":"Portfolio optimization","volume":"2","author":[{"family":"Muñoz","given":"Israel"},{"family":"Cifuentes","given":"Arturo"}],"issued":{"date-parts":[["2026",3]]}}}],"schema":"https://github.com/citation-style-language/schema/raw/master/csl-citation.json"} </w:instrText>
      </w:r>
      <w:r w:rsidR="00677C93">
        <w:fldChar w:fldCharType="separate"/>
      </w:r>
      <w:r w:rsidR="00677C93" w:rsidRPr="00677C93">
        <w:rPr>
          <w:rFonts w:cs="Times New Roman"/>
        </w:rPr>
        <w:t>[1]</w:t>
      </w:r>
      <w:r w:rsidR="00677C93">
        <w:fldChar w:fldCharType="end"/>
      </w:r>
      <w:r>
        <w:t xml:space="preserve">, </w:t>
      </w:r>
      <w:r w:rsidR="00677C93">
        <w:fldChar w:fldCharType="begin"/>
      </w:r>
      <w:r w:rsidR="00677C93">
        <w:instrText xml:space="preserve"> ADDIN ZOTERO_ITEM CSL_CITATION {"citationID":"nvHfeXLF","properties":{"unsorted":false,"formattedCitation":"[2]","plainCitation":"[2]","noteIndex":0},"citationItems":[{"id":62,"uris":["http://zotero.org/users/19988420/items/EZJ259FY"],"itemData":{"id":62,"type":"article-journal","abstract":"In this study, we analyze three portfolio selection strategies for loss-averse investors: semi-variance, conditional value-at-risk, and a combination of both risk measures. Moreover, we propose a novel version of the non-dominated sorting genetic algorithm II and of the strength Pareto evolutionary algorithm 2 to tackle this optimization problem. The effectiveness of these algorithms is compared with two alternatives from the literature from five publicly available datasets. The computational results indicate that the proposed algorithms in this study outperform the others for all the examined performance metrics. Moreover, they are able to approximate the Pareto front even in cases in which all the other approaches fail.","container-title":"Financial Innovation","DOI":"10.1186/s40854-019-0140-6","ISSN":"2199-4730","issue":"1","journalAbbreviation":"Financ Innov","language":"en","page":"26","source":"DOI.org (Crossref)","title":"Portfolio optimization by improved NSGA-II and SPEA 2 based on different risk measures","volume":"5","author":[{"family":"Kaucic","given":"Massimiliano"},{"family":"Moradi","given":"Mojtaba"},{"family":"Mirzazadeh","given":"Mohmmad"}],"issued":{"date-parts":[["2019",12]]}}}],"schema":"https://github.com/citation-style-language/schema/raw/master/csl-citation.json"} </w:instrText>
      </w:r>
      <w:r w:rsidR="00677C93">
        <w:fldChar w:fldCharType="separate"/>
      </w:r>
      <w:r w:rsidR="00677C93" w:rsidRPr="00677C93">
        <w:rPr>
          <w:rFonts w:cs="Times New Roman"/>
        </w:rPr>
        <w:t>[2]</w:t>
      </w:r>
      <w:r w:rsidR="00677C93">
        <w:fldChar w:fldCharType="end"/>
      </w:r>
      <w:r>
        <w:t>. For this reason, portfolio research has increasingly adopted Conditional Value-at-Risk (</w:t>
      </w:r>
      <w:proofErr w:type="spellStart"/>
      <w:r>
        <w:t>CVaR</w:t>
      </w:r>
      <w:proofErr w:type="spellEnd"/>
      <w:r>
        <w:t xml:space="preserve">), which estimates average losses beyond the </w:t>
      </w:r>
      <w:proofErr w:type="spellStart"/>
      <w:r>
        <w:t>VaR</w:t>
      </w:r>
      <w:proofErr w:type="spellEnd"/>
      <w:r>
        <w:t xml:space="preserve"> threshold and can be incorporated into tractable </w:t>
      </w:r>
      <w:proofErr w:type="spellStart"/>
      <w:r>
        <w:t>optimisation</w:t>
      </w:r>
      <w:proofErr w:type="spellEnd"/>
      <w:r>
        <w:t xml:space="preserve"> formulations [2], </w:t>
      </w:r>
      <w:r w:rsidR="004118CC">
        <w:fldChar w:fldCharType="begin"/>
      </w:r>
      <w:r w:rsidR="004118CC">
        <w:instrText xml:space="preserve"> ADDIN ZOTERO_ITEM CSL_CITATION {"citationID":"IboPKBXL","properties":{"unsorted":false,"formattedCitation":"[3]","plainCitation":"[3]","noteIndex":0},"citationItems":[{"id":56,"uris":["http://zotero.org/users/19988420/items/XRB26KGG"],"itemData":{"id":56,"type":"article-journal","abstract":"This study examines the portfolio optimization problem by exploiting daily data of 10 international Exchange Trade Funds (ETF) from 2012 to 2022. We extend the Black-Litterman (BL) approach using ARMA-GARCH-copula-based expected returns as a proxy for investor views and use the CVaR metric as a risk measure in the optimization procedure. The BL approach provides a Bayesian methodology for combining the equilibrium returns and the investor views to produce expected returns. We use Regular Vine (R-vine) copula since it provides a flexible multivariate dependency modeling. The suggested approach is compared against the copulaCVaR portfolio, which likewise a BL copula approach avoids excessive corner solutions that many optimization approaches would generate in case of extreme values of estimated parameters. We compare the performance of these two approaches using out-of-sample back-testing against two benchmarks: Mean–Variance optimizations (MV) and equal weights portfolio (EW). To further reduce the sensitivity of considered strategies to input parameters, we evaluate out-of-sample performance at three levels of maximum weight constraints: 30%, 40%, and 50%. Moreover, in this paper, we consider different levels of view confidence—τ in the Black-Litterman model as it significantly affects the obtained results and inferences. We calculate and report the portfolios’ tail risks, maximum drawdown, turnover, and the break-even point for all optimization approaches. Our empirical analysis indicates better performance for the CBL portfolio regarding lower tail risk and higher risk-adjusted returns, and the copula-CVaR portfolio is better regarding lower turnover and higher break-even point.","container-title":"Economic Change and Restructuring","DOI":"10.1007/s10644-022-09435-y","ISSN":"1573-9414, 1574-0277","issue":"1","journalAbbreviation":"Econ Change Restruct","language":"en","page":"515-535","source":"DOI.org (Crossref)","title":"Black-Litterman model with copula-based views in mean-CVaR portfolio optimization framework with weight constraints","volume":"56","author":[{"family":"Teplova","given":"Tamara"},{"family":"Evgeniia","given":"Mikova"},{"family":"Munir","given":"Qaiser"},{"family":"Pivnitskaya","given":"Nataliya"}],"issued":{"date-parts":[["2023",2]]}}}],"schema":"https://github.com/citation-style-language/schema/raw/master/csl-citation.json"} </w:instrText>
      </w:r>
      <w:r w:rsidR="004118CC">
        <w:fldChar w:fldCharType="separate"/>
      </w:r>
      <w:r w:rsidR="004118CC" w:rsidRPr="004118CC">
        <w:rPr>
          <w:rFonts w:cs="Times New Roman"/>
        </w:rPr>
        <w:t>[3]</w:t>
      </w:r>
      <w:r w:rsidR="004118CC">
        <w:fldChar w:fldCharType="end"/>
      </w:r>
      <w:r>
        <w:t xml:space="preserve">. Exchange-traded funds (ETFs) provide a practical setting for such comparison because prior studies have evaluated </w:t>
      </w:r>
      <w:proofErr w:type="spellStart"/>
      <w:r>
        <w:t>CVaR</w:t>
      </w:r>
      <w:proofErr w:type="spellEnd"/>
      <w:r>
        <w:t xml:space="preserve">-based, MV, and equal-weight approaches using </w:t>
      </w:r>
      <w:r>
        <w:t xml:space="preserve">diversified ETF universes and out-of-sample </w:t>
      </w:r>
      <w:proofErr w:type="spellStart"/>
      <w:r>
        <w:t>backtesting</w:t>
      </w:r>
      <w:proofErr w:type="spellEnd"/>
      <w:r>
        <w:t xml:space="preserve"> [3].</w:t>
      </w:r>
    </w:p>
    <w:p w14:paraId="1BB4983C" w14:textId="38EAF356" w:rsidR="00E04DB8" w:rsidRDefault="00000000">
      <w:pPr>
        <w:spacing w:after="80" w:line="259" w:lineRule="auto"/>
        <w:jc w:val="both"/>
      </w:pPr>
      <w:r>
        <w:t xml:space="preserve">Despite this relevance, much of the recent </w:t>
      </w:r>
      <w:proofErr w:type="spellStart"/>
      <w:r>
        <w:t>CVaR</w:t>
      </w:r>
      <w:proofErr w:type="spellEnd"/>
      <w:r>
        <w:t xml:space="preserve"> literature is embedded in advanced settings such as evolutionary algorithms, copula-based dependence modelling, bilevel multi-market </w:t>
      </w:r>
      <w:proofErr w:type="spellStart"/>
      <w:r>
        <w:t>optimisation</w:t>
      </w:r>
      <w:proofErr w:type="spellEnd"/>
      <w:r>
        <w:t xml:space="preserve">, deep reinforcement learning, and distributionally robust </w:t>
      </w:r>
      <w:proofErr w:type="spellStart"/>
      <w:r>
        <w:t>optimisation</w:t>
      </w:r>
      <w:proofErr w:type="spellEnd"/>
      <w:r>
        <w:t xml:space="preserve"> [2</w:t>
      </w:r>
      <w:r w:rsidR="004118CC">
        <w:t xml:space="preserve">], [3], </w:t>
      </w:r>
      <w:r w:rsidR="004118CC">
        <w:fldChar w:fldCharType="begin"/>
      </w:r>
      <w:r w:rsidR="004118CC">
        <w:instrText xml:space="preserve"> ADDIN ZOTERO_ITEM CSL_CITATION {"citationID":"ICUEpr9J","properties":{"unsorted":false,"formattedCitation":"[4]","plainCitation":"[4]","noteIndex":0},"citationItems":[{"id":63,"uris":["http://zotero.org/users/19988420/items/2J59DQD5"],"itemData":{"id":63,"type":"article-journal","abstract":"The delegated portfolio management has been at the core of ﬁnancial debates, leading to a growing research effort to provide modeling and solution approaches. This class of problems focuses on investors relying upon decentralized aﬃliates for the specialized selection of investment options. In this paper we propose a novel optimization framework for multi-market portfolio management, where a central headquarter delegates the market-wise portfolio selection to specialized aﬃliates. Being averse to risk, the headquarter endogenously sets the maximum expected loss (in the form of conditional value at risk) for the aﬃliates, who respond designing portfolios and retaining portions of the expected investment returns as management fees. In its essence, this problem constitutes a single-leader-multi-follower game, resulting from the decentralized investment design. Starting from a bilevel formulation, our results build on the equivalence with the high point relaxation to provide theoretical insights and numerical solution approaches. We show that the problem is NP-Hard and propose a decomposition procedure and strong valid inequalities, capable of boosting the eﬃciency of the computational solution, when instances become large. In the same line, optimality bounds exploiting overlooked properties of the conditional value at risk are deduced, to provide almost exact solutions with few seconds of computation. Building on this theoretical development, we conduct computational tests using comprehensive ﬁrm-level data from 1999 to 2014 on 7256 U.S. listed enterprises. These tests support the effectiveness of the decomposition procedure, as well as the one of the strong valid inequalities, improving the LP relaxation by up to 99.18%.","container-title":"European Journal of Operational Research","DOI":"10.1016/j.ejor.2021.10.010","ISSN":"03772217","issue":"1","journalAbbreviation":"European Journal of Operational Research","language":"en","page":"350-365","source":"DOI.org (Crossref)","title":"Multi-market portfolio optimization with conditional value at risk","volume":"300","author":[{"family":"Nasini","given":"Stefano"},{"family":"Labbé","given":"Martine"},{"family":"Brotcorne","given":"Luce"}],"issued":{"date-parts":[["2022",7]]}}}],"schema":"https://github.com/citation-style-language/schema/raw/master/csl-citation.json"} </w:instrText>
      </w:r>
      <w:r w:rsidR="004118CC">
        <w:fldChar w:fldCharType="separate"/>
      </w:r>
      <w:r w:rsidR="004118CC" w:rsidRPr="004118CC">
        <w:rPr>
          <w:rFonts w:cs="Times New Roman"/>
        </w:rPr>
        <w:t>[4]</w:t>
      </w:r>
      <w:r w:rsidR="004118CC">
        <w:fldChar w:fldCharType="end"/>
      </w:r>
      <w:r w:rsidR="004118CC">
        <w:t xml:space="preserve">, </w:t>
      </w:r>
      <w:r w:rsidR="00F864DB">
        <w:fldChar w:fldCharType="begin"/>
      </w:r>
      <w:r w:rsidR="00F864DB">
        <w:instrText xml:space="preserve"> ADDIN ZOTERO_ITEM CSL_CITATION {"citationID":"plBztppD","properties":{"unsorted":false,"formattedCitation":"[5]","plainCitation":"[5]","noteIndex":0},"citationItems":[{"id":64,"uris":["http://zotero.org/users/19988420/items/LBT75YHQ"],"itemData":{"id":64,"type":"article-journal","abstract":"Cryptocurrency markets have much larger tail risk than traditional financial markets, and constructing portfolios with such large tail risk assets would be challenging. Therefore, cryptocurrency funds demand new superior risk management models and Conditional Value at Risk (CVaR) is a prevailing risk measure for constructing portfolios in stock markets with large tail risk. Consequently, our paper contributes to the literature by developing a new cryptocurrency portfolio model framework based on the CVaR risk measure and a deep reinforcement learning optimization framework. We use the data from cryptocurrency market starting 2015 to 2021, unfolding that CVaR measure with deep learning outperforms the traditional portfolio construction technique. Compared with traditional economic parameter-based portfolio models, our model free based approach can capture the nonlinear compounding effect of multiple risk shocks by deep reinforcement learning on the risk distribution with economic structural breakdown. It can guide investments in financial markets with high tail risks.","container-title":"Economic Modelling","DOI":"10.1016/j.econmod.2022.106078","ISSN":"02649993","journalAbbreviation":"Economic Modelling","language":"en","page":"106078","source":"DOI.org (Crossref)","title":"Portfolio constructions in cryptocurrency market: A CVaR-based deep reinforcement learning approach","title-short":"Portfolio constructions in cryptocurrency market","volume":"119","author":[{"family":"Cui","given":"Tianxiang"},{"family":"Ding","given":"Shusheng"},{"family":"Jin","given":"Huan"},{"family":"Zhang","given":"Yongmin"}],"issued":{"date-parts":[["2023",2]]}}}],"schema":"https://github.com/citation-style-language/schema/raw/master/csl-citation.json"} </w:instrText>
      </w:r>
      <w:r w:rsidR="00F864DB">
        <w:fldChar w:fldCharType="separate"/>
      </w:r>
      <w:r w:rsidR="00F864DB" w:rsidRPr="00F864DB">
        <w:rPr>
          <w:rFonts w:cs="Times New Roman"/>
        </w:rPr>
        <w:t>[5]</w:t>
      </w:r>
      <w:r w:rsidR="00F864DB">
        <w:fldChar w:fldCharType="end"/>
      </w:r>
      <w:r w:rsidR="004118CC">
        <w:t xml:space="preserve">, </w:t>
      </w:r>
      <w:r w:rsidR="00BF42B1">
        <w:fldChar w:fldCharType="begin"/>
      </w:r>
      <w:r w:rsidR="00BF42B1">
        <w:instrText xml:space="preserve"> ADDIN ZOTERO_ITEM CSL_CITATION {"citationID":"Hz5IdUyZ","properties":{"unsorted":false,"formattedCitation":"[6]","plainCitation":"[6]","noteIndex":0},"citationItems":[{"id":57,"uris":["http://zotero.org/users/19988420/items/4PPWFWCH"],"itemData":{"id":57,"type":"article-journal","abstract":"This paper studies a distributionally robust portfolio optimization model with a cardinality constraint for limiting the number of invested assets. We formulate this model as a mixed-integer semideﬁnite optimization (MISDO) problem by means of the moment-based ambiguity set of probability distributions of asset returns. To exactly solve large-scale problems, we propose a specialized cutting-plane algorithm that is based on bilevel optimization reformulation. We prove the ﬁnite convergence of the algorithm. We also apply a matrix completion technique to lower-level SDO problems to make their problem sizes much smaller. Numerical experiments demonstrate that our cutting-plane algorithm is signiﬁcantly faster than the state-of-the-art MISDO solver SCIP-SDP. We also show that our portfolio optimization model can achieve good investment performance compared with the conventional robust optimization model based on the ellipsoidal uncertainty set.","container-title":"European Journal of Operational Research","DOI":"10.1016/j.ejor.2023.01.037","ISSN":"03772217","issue":"3","journalAbbreviation":"European Journal of Operational Research","language":"en","page":"1173-1182","source":"DOI.org (Crossref)","title":"Cardinality-constrained distributionally robust portfolio optimization","volume":"309","author":[{"family":"Kobayashi","given":"Ken"},{"family":"Takano","given":"Yuichi"},{"family":"Nakata","given":"Kazuhide"}],"issued":{"date-parts":[["2023",9]]}}}],"schema":"https://github.com/citation-style-language/schema/raw/master/csl-citation.json"} </w:instrText>
      </w:r>
      <w:r w:rsidR="00BF42B1">
        <w:fldChar w:fldCharType="separate"/>
      </w:r>
      <w:r w:rsidR="00BF42B1" w:rsidRPr="00BF42B1">
        <w:rPr>
          <w:rFonts w:cs="Times New Roman"/>
        </w:rPr>
        <w:t>[6]</w:t>
      </w:r>
      <w:r w:rsidR="00BF42B1">
        <w:fldChar w:fldCharType="end"/>
      </w:r>
      <w:r>
        <w:t xml:space="preserve">. These studies are valuable, but they make it harder to judge whether a simpler and more transparent </w:t>
      </w:r>
      <w:proofErr w:type="spellStart"/>
      <w:r>
        <w:t>CVaR-minimisation</w:t>
      </w:r>
      <w:proofErr w:type="spellEnd"/>
      <w:r>
        <w:t xml:space="preserve"> framework, implemented under standard long-only constraints, already provides meaningful downside-risk benefits. In addition, while Malta has an established collective investment scheme environment and the Maltese Assets Fund illustrates the local relevance of diversified fund products </w:t>
      </w:r>
      <w:r w:rsidR="000B25AC">
        <w:fldChar w:fldCharType="begin"/>
      </w:r>
      <w:r w:rsidR="000B25AC">
        <w:instrText xml:space="preserve"> ADDIN ZOTERO_ITEM CSL_CITATION {"citationID":"jgrBKtQp","properties":{"unsorted":false,"formattedCitation":"[7]","plainCitation":"[7]","noteIndex":0},"citationItems":[{"id":68,"uris":["http://zotero.org/users/19988420/items/DY3ARF45"],"itemData":{"id":68,"type":"report","genre":"Fund information sheet","title":"Maltese Assets Fund: Fund Information Sheet, Income Class","author":[{"literal":"HSBC Global Asset Management (Malta) Ltd."}],"issued":{"date-parts":[["2026",1,30]]}}}],"schema":"https://github.com/citation-style-language/schema/raw/master/csl-citation.json"} </w:instrText>
      </w:r>
      <w:r w:rsidR="000B25AC">
        <w:fldChar w:fldCharType="separate"/>
      </w:r>
      <w:r w:rsidR="000B25AC" w:rsidRPr="000B25AC">
        <w:rPr>
          <w:rFonts w:cs="Times New Roman"/>
        </w:rPr>
        <w:t>[7]</w:t>
      </w:r>
      <w:r w:rsidR="000B25AC">
        <w:fldChar w:fldCharType="end"/>
      </w:r>
      <w:r>
        <w:t>,</w:t>
      </w:r>
      <w:r w:rsidR="000B25AC">
        <w:t xml:space="preserve"> </w:t>
      </w:r>
      <w:r w:rsidR="000B25AC">
        <w:fldChar w:fldCharType="begin"/>
      </w:r>
      <w:r w:rsidR="000B25AC">
        <w:instrText xml:space="preserve"> ADDIN ZOTERO_ITEM CSL_CITATION {"citationID":"LYYurvYe","properties":{"unsorted":false,"formattedCitation":"[8]","plainCitation":"[8]","noteIndex":0},"citationItems":[{"id":67,"uris":["http://zotero.org/users/19988420/items/6X7IX493"],"itemData":{"id":67,"type":"report","genre":"Statistical report","language":"en","source":"Zotero","title":"Net Asset Value (€) - Locally-Based Collective Investment Schemes","URL":"https://www.mfsa.mt/wp-content/uploads/2025/05/Net-Asset-Value-Locally-Based-Collective-Investment-Schemes-March-2025.pdf","author":[{"literal":"Malta Financial Services Authority"}],"issued":{"date-parts":[["2025",3]]}}}],"schema":"https://github.com/citation-style-language/schema/raw/master/csl-citation.json"} </w:instrText>
      </w:r>
      <w:r w:rsidR="000B25AC">
        <w:fldChar w:fldCharType="separate"/>
      </w:r>
      <w:r w:rsidR="000B25AC" w:rsidRPr="000B25AC">
        <w:rPr>
          <w:rFonts w:cs="Times New Roman"/>
        </w:rPr>
        <w:t>[8]</w:t>
      </w:r>
      <w:r w:rsidR="000B25AC">
        <w:fldChar w:fldCharType="end"/>
      </w:r>
      <w:r>
        <w:t xml:space="preserve">, there is limited evidence on </w:t>
      </w:r>
      <w:proofErr w:type="spellStart"/>
      <w:r>
        <w:t>CVaR</w:t>
      </w:r>
      <w:proofErr w:type="spellEnd"/>
      <w:r>
        <w:t xml:space="preserve">-based </w:t>
      </w:r>
      <w:proofErr w:type="spellStart"/>
      <w:r>
        <w:t>optimisation</w:t>
      </w:r>
      <w:proofErr w:type="spellEnd"/>
      <w:r>
        <w:t xml:space="preserve"> in a Malta-accessible UCITS ETF context. The present study </w:t>
      </w:r>
      <w:proofErr w:type="gramStart"/>
      <w:r>
        <w:t>is therefore positioned</w:t>
      </w:r>
      <w:proofErr w:type="gramEnd"/>
      <w:r>
        <w:t xml:space="preserve"> at the intersection of quantitative portfolio theory and applied investment management, addressing a contextual and empirical gap by testing whether a Malta-accessible UCITS ETF basket can serve as a credible benchmark setting for comparing </w:t>
      </w:r>
      <w:proofErr w:type="spellStart"/>
      <w:r>
        <w:t>CVaR</w:t>
      </w:r>
      <w:proofErr w:type="spellEnd"/>
      <w:r>
        <w:t>, Equal-Weight, and Minimum-Variance strategies.</w:t>
      </w:r>
    </w:p>
    <w:p w14:paraId="7A40ECA4" w14:textId="77777777" w:rsidR="00E04DB8" w:rsidRDefault="00000000">
      <w:pPr>
        <w:spacing w:after="80" w:line="259" w:lineRule="auto"/>
        <w:jc w:val="both"/>
      </w:pPr>
      <w:r>
        <w:t xml:space="preserve">The purpose of this quantitative </w:t>
      </w:r>
      <w:proofErr w:type="spellStart"/>
      <w:r>
        <w:t>backtesting</w:t>
      </w:r>
      <w:proofErr w:type="spellEnd"/>
      <w:r>
        <w:t xml:space="preserve"> study is to evaluate whether </w:t>
      </w:r>
      <w:proofErr w:type="spellStart"/>
      <w:r>
        <w:t>CVaR-minimisation</w:t>
      </w:r>
      <w:proofErr w:type="spellEnd"/>
      <w:r>
        <w:t xml:space="preserve"> provides stronger downside-risk control than Equal-Weight (1/N) and Minimum-Variance portfolio construction in a Malta-accessible UCITS ETF basket over 2016–2025. </w:t>
      </w:r>
      <w:r w:rsidRPr="006C72BA">
        <w:rPr>
          <w:highlight w:val="red"/>
        </w:rPr>
        <w:t xml:space="preserve">The independent variable is the </w:t>
      </w:r>
      <w:proofErr w:type="spellStart"/>
      <w:r w:rsidRPr="006C72BA">
        <w:rPr>
          <w:highlight w:val="red"/>
        </w:rPr>
        <w:t>optimisation</w:t>
      </w:r>
      <w:proofErr w:type="spellEnd"/>
      <w:r w:rsidRPr="006C72BA">
        <w:rPr>
          <w:highlight w:val="red"/>
        </w:rPr>
        <w:t xml:space="preserve"> strategy, </w:t>
      </w:r>
      <w:proofErr w:type="spellStart"/>
      <w:r w:rsidRPr="006C72BA">
        <w:rPr>
          <w:highlight w:val="red"/>
        </w:rPr>
        <w:t>operationalised</w:t>
      </w:r>
      <w:proofErr w:type="spellEnd"/>
      <w:r w:rsidRPr="006C72BA">
        <w:rPr>
          <w:highlight w:val="red"/>
        </w:rPr>
        <w:t xml:space="preserve"> through three portfolio rules: Equal-Weight, Minimum-Variance, and </w:t>
      </w:r>
      <w:proofErr w:type="spellStart"/>
      <w:r w:rsidRPr="006C72BA">
        <w:rPr>
          <w:highlight w:val="red"/>
        </w:rPr>
        <w:t>CVaR-minimisation</w:t>
      </w:r>
      <w:proofErr w:type="spellEnd"/>
      <w:r w:rsidRPr="006C72BA">
        <w:rPr>
          <w:highlight w:val="red"/>
        </w:rPr>
        <w:t>. The dependent variables are the</w:t>
      </w:r>
      <w:r>
        <w:t xml:space="preserve"> </w:t>
      </w:r>
      <w:r w:rsidRPr="006C72BA">
        <w:rPr>
          <w:highlight w:val="red"/>
        </w:rPr>
        <w:t xml:space="preserve">observed portfolio outcomes, namely CAGR, volatility, Sharpe ratio, </w:t>
      </w:r>
      <w:proofErr w:type="spellStart"/>
      <w:r w:rsidRPr="006C72BA">
        <w:rPr>
          <w:highlight w:val="red"/>
        </w:rPr>
        <w:t>Sortino</w:t>
      </w:r>
      <w:proofErr w:type="spellEnd"/>
      <w:r w:rsidRPr="006C72BA">
        <w:rPr>
          <w:highlight w:val="red"/>
        </w:rPr>
        <w:t xml:space="preserve"> ratio, </w:t>
      </w:r>
      <w:proofErr w:type="spellStart"/>
      <w:r w:rsidRPr="006C72BA">
        <w:rPr>
          <w:highlight w:val="red"/>
        </w:rPr>
        <w:t>VaR</w:t>
      </w:r>
      <w:proofErr w:type="spellEnd"/>
      <w:r w:rsidRPr="006C72BA">
        <w:rPr>
          <w:highlight w:val="red"/>
        </w:rPr>
        <w:t xml:space="preserve">, </w:t>
      </w:r>
      <w:proofErr w:type="spellStart"/>
      <w:r w:rsidRPr="006C72BA">
        <w:rPr>
          <w:highlight w:val="red"/>
        </w:rPr>
        <w:t>CVaR</w:t>
      </w:r>
      <w:proofErr w:type="spellEnd"/>
      <w:r w:rsidRPr="006C72BA">
        <w:rPr>
          <w:highlight w:val="red"/>
        </w:rPr>
        <w:t>, and maximum drawdown</w:t>
      </w:r>
      <w:r>
        <w:t xml:space="preserve">. To </w:t>
      </w:r>
      <w:r w:rsidRPr="003E4B95">
        <w:rPr>
          <w:highlight w:val="red"/>
        </w:rPr>
        <w:t xml:space="preserve">preserve comparability, the ETF universe, estimation window length, rebalancing frequency, and long-only fully invested constraints </w:t>
      </w:r>
      <w:proofErr w:type="gramStart"/>
      <w:r w:rsidRPr="003E4B95">
        <w:rPr>
          <w:highlight w:val="red"/>
        </w:rPr>
        <w:t>are treated</w:t>
      </w:r>
      <w:proofErr w:type="gramEnd"/>
      <w:r w:rsidRPr="003E4B95">
        <w:rPr>
          <w:highlight w:val="red"/>
        </w:rPr>
        <w:t xml:space="preserve"> as control variables</w:t>
      </w:r>
      <w:r>
        <w:t xml:space="preserve">. The study aims to implement the three strategies under identical conditions using rolling out-of-sample </w:t>
      </w:r>
      <w:proofErr w:type="spellStart"/>
      <w:r>
        <w:t>backtesting</w:t>
      </w:r>
      <w:proofErr w:type="spellEnd"/>
      <w:r>
        <w:t xml:space="preserve"> and to compare their performance on both return-based and downside-risk criteria.</w:t>
      </w:r>
    </w:p>
    <w:p w14:paraId="27C34E49" w14:textId="482D6716" w:rsidR="00E04DB8" w:rsidRPr="00810730" w:rsidRDefault="00000000">
      <w:pPr>
        <w:spacing w:after="80" w:line="259" w:lineRule="auto"/>
        <w:jc w:val="both"/>
        <w:rPr>
          <w:lang w:val="en-GB"/>
        </w:rPr>
      </w:pPr>
      <w:r>
        <w:t xml:space="preserve">Accordingly, the main hypothesis states that a </w:t>
      </w:r>
      <w:proofErr w:type="spellStart"/>
      <w:r>
        <w:t>CVaR-minimised</w:t>
      </w:r>
      <w:proofErr w:type="spellEnd"/>
      <w:r>
        <w:t xml:space="preserve"> portfolio will achieve lower </w:t>
      </w:r>
      <w:proofErr w:type="spellStart"/>
      <w:r>
        <w:t>CVaR</w:t>
      </w:r>
      <w:proofErr w:type="spellEnd"/>
      <w:r>
        <w:t xml:space="preserve"> and lower maximum drawdown than Equal-Weight and Minimum-Variance portfolios without material </w:t>
      </w:r>
      <w:r>
        <w:lastRenderedPageBreak/>
        <w:t xml:space="preserve">deterioration in CAGR or Sharpe ratio. The null hypothesis states that no meaningful difference will exist among the three strategies in </w:t>
      </w:r>
      <w:proofErr w:type="spellStart"/>
      <w:r>
        <w:t>CVaR</w:t>
      </w:r>
      <w:proofErr w:type="spellEnd"/>
      <w:r>
        <w:t>, maximum drawdown, or risk-adjusted performance.</w:t>
      </w:r>
      <w:r w:rsidR="008069FF">
        <w:t xml:space="preserve"> </w:t>
      </w:r>
      <w:r w:rsidR="00810730" w:rsidRPr="00810730">
        <w:rPr>
          <w:lang w:val="en-GB"/>
        </w:rPr>
        <w:t xml:space="preserve">As shown in Fig. 1, the present study adopts a positivist philosophy and a deductive approach. </w:t>
      </w:r>
      <w:r w:rsidR="00FA19CF" w:rsidRPr="00FA19CF">
        <w:t xml:space="preserve">It employs a controlled experimental </w:t>
      </w:r>
      <w:proofErr w:type="spellStart"/>
      <w:r w:rsidR="00FA19CF" w:rsidRPr="00FA19CF">
        <w:t>backtesting</w:t>
      </w:r>
      <w:proofErr w:type="spellEnd"/>
      <w:r w:rsidR="00FA19CF" w:rsidRPr="00FA19CF">
        <w:t xml:space="preserve"> strategy using secondary historical ETF data</w:t>
      </w:r>
      <w:r w:rsidR="00810730" w:rsidRPr="00810730">
        <w:rPr>
          <w:lang w:val="en-GB"/>
        </w:rPr>
        <w:t xml:space="preserve">, a mono-method quantitative design, and a longitudinal time horizon. The techniques and procedures consist of secondary ETF data collection, rolling out-of-sample </w:t>
      </w:r>
      <w:proofErr w:type="spellStart"/>
      <w:r w:rsidR="00810730" w:rsidRPr="00810730">
        <w:rPr>
          <w:lang w:val="en-GB"/>
        </w:rPr>
        <w:t>backtesting</w:t>
      </w:r>
      <w:proofErr w:type="spellEnd"/>
      <w:r w:rsidR="00810730" w:rsidRPr="00810730">
        <w:rPr>
          <w:lang w:val="en-GB"/>
        </w:rPr>
        <w:t>, and quantitative performance and downside-risk analysis. Specifically, portfolio outcomes are treated as objectively measurable through predefined financial metrics. A deductive approach is adopted because the study begins from established theory on the limitations of variance as a risk proxy and tests whether a downside-risk measure produces superior empirical outcomes [1], [2]. Since performance is evaluated across repeated windows over 2016–2025 rather than at a single point in time, the time horizon is longitudinal.</w:t>
      </w:r>
    </w:p>
    <w:p w14:paraId="05FD84C7" w14:textId="244457FB" w:rsidR="00791D35" w:rsidRDefault="00791D35">
      <w:pPr>
        <w:spacing w:after="80" w:line="259" w:lineRule="auto"/>
        <w:jc w:val="both"/>
      </w:pPr>
      <w:r>
        <w:rPr>
          <w:noProof/>
        </w:rPr>
        <w:drawing>
          <wp:inline distT="0" distB="0" distL="0" distR="0" wp14:anchorId="1F694576" wp14:editId="7E997E90">
            <wp:extent cx="2428875" cy="1736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1341" cy="1745011"/>
                    </a:xfrm>
                    <a:prstGeom prst="rect">
                      <a:avLst/>
                    </a:prstGeom>
                    <a:noFill/>
                    <a:ln>
                      <a:noFill/>
                    </a:ln>
                  </pic:spPr>
                </pic:pic>
              </a:graphicData>
            </a:graphic>
          </wp:inline>
        </w:drawing>
      </w:r>
    </w:p>
    <w:p w14:paraId="5815B2DE" w14:textId="3FCEF084" w:rsidR="002A3C0A" w:rsidRDefault="002A3C0A">
      <w:pPr>
        <w:spacing w:before="80" w:after="60" w:line="259" w:lineRule="auto"/>
      </w:pPr>
      <w:r w:rsidRPr="002A3C0A">
        <w:t xml:space="preserve">Fig. 1. Research onion for the present study, adapted from Fig. 4.1 in Saunders, Lewis, and Thornhill </w:t>
      </w:r>
      <w:r w:rsidR="001C50E8">
        <w:fldChar w:fldCharType="begin"/>
      </w:r>
      <w:r w:rsidR="002D20CD">
        <w:instrText xml:space="preserve"> ADDIN ZOTERO_ITEM CSL_CITATION {"citationID":"idEZASRA","properties":{"unsorted":false,"formattedCitation":"[9]","plainCitation":"[9]","noteIndex":0},"citationItems":[{"id":52,"uris":["http://zotero.org/users/19988420/items/LIDY9IDS"],"itemData":{"id":52,"type":"book","edition":"4th. ed","ISBN":"978-0-273-70148-4","language":"en","number-of-pages":"624","publisher":"Financial Times Prentice Hall","publisher-place":"Harlow, U.K.","source":"K10plus ISBN","title":"Research Methods for Business Students","author":[{"family":"Saunders","given":"Mark"},{"family":"Lewis","given":"Philip"},{"family":"Thornhill","given":"Adrian"}],"issued":{"date-parts":[["2007"]]}}}],"schema":"https://github.com/citation-style-language/schema/raw/master/csl-citation.json"} </w:instrText>
      </w:r>
      <w:r w:rsidR="001C50E8">
        <w:fldChar w:fldCharType="separate"/>
      </w:r>
      <w:r w:rsidR="001C50E8" w:rsidRPr="001C50E8">
        <w:rPr>
          <w:rFonts w:cs="Times New Roman"/>
        </w:rPr>
        <w:t>[9]</w:t>
      </w:r>
      <w:r w:rsidR="001C50E8">
        <w:fldChar w:fldCharType="end"/>
      </w:r>
      <w:r w:rsidRPr="002A3C0A">
        <w:t>.</w:t>
      </w:r>
    </w:p>
    <w:p w14:paraId="41818918" w14:textId="77777777" w:rsidR="00F70421" w:rsidRDefault="00F70421" w:rsidP="001C50E8">
      <w:pPr>
        <w:spacing w:before="80" w:after="60" w:line="259" w:lineRule="auto"/>
        <w:rPr>
          <w:b/>
          <w:sz w:val="20"/>
        </w:rPr>
      </w:pPr>
    </w:p>
    <w:p w14:paraId="3AAD5137" w14:textId="2F2AF309" w:rsidR="00F70421" w:rsidRDefault="00F70421" w:rsidP="001C50E8">
      <w:pPr>
        <w:spacing w:before="80" w:after="60" w:line="259" w:lineRule="auto"/>
        <w:rPr>
          <w:b/>
          <w:sz w:val="20"/>
        </w:rPr>
      </w:pPr>
      <w:r w:rsidRPr="00DC4325">
        <w:rPr>
          <w:b/>
          <w:bCs/>
        </w:rPr>
        <w:t>II. LITERATURE REVIEW</w:t>
      </w:r>
      <w:r>
        <w:rPr>
          <w:b/>
          <w:sz w:val="20"/>
        </w:rPr>
        <w:t xml:space="preserve"> </w:t>
      </w:r>
    </w:p>
    <w:p w14:paraId="0C484E35" w14:textId="77777777" w:rsidR="00687CB2" w:rsidRDefault="00687CB2" w:rsidP="001C50E8">
      <w:pPr>
        <w:spacing w:before="80" w:after="60" w:line="259" w:lineRule="auto"/>
      </w:pPr>
      <w:r w:rsidRPr="00367402">
        <w:t>Section II reviews the research methodologies used in six peer-reviewed journal articles [1]</w:t>
      </w:r>
      <w:proofErr w:type="gramStart"/>
      <w:r w:rsidRPr="00367402">
        <w:t>–[</w:t>
      </w:r>
      <w:proofErr w:type="gramEnd"/>
      <w:r w:rsidRPr="00367402">
        <w:t xml:space="preserve">6]. Non-academic and institutional sources </w:t>
      </w:r>
      <w:proofErr w:type="gramStart"/>
      <w:r w:rsidRPr="00367402">
        <w:t>are used</w:t>
      </w:r>
      <w:proofErr w:type="gramEnd"/>
      <w:r w:rsidRPr="00367402">
        <w:t xml:space="preserve"> only for contextual background and are excluded from the methodological comparison.</w:t>
      </w:r>
    </w:p>
    <w:p w14:paraId="00E0A1FE" w14:textId="64062674" w:rsidR="00DB30D7" w:rsidRDefault="001974A1" w:rsidP="001C50E8">
      <w:pPr>
        <w:spacing w:before="80" w:after="60" w:line="259" w:lineRule="auto"/>
      </w:pPr>
      <w:r>
        <w:rPr>
          <w:noProof/>
        </w:rPr>
        <w:drawing>
          <wp:inline distT="0" distB="0" distL="0" distR="0" wp14:anchorId="5AFE0E19" wp14:editId="4835C0A8">
            <wp:extent cx="2961005" cy="1151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2961005" cy="1151890"/>
                    </a:xfrm>
                    <a:prstGeom prst="rect">
                      <a:avLst/>
                    </a:prstGeom>
                  </pic:spPr>
                </pic:pic>
              </a:graphicData>
            </a:graphic>
          </wp:inline>
        </w:drawing>
      </w:r>
    </w:p>
    <w:p w14:paraId="4728256A" w14:textId="35959201" w:rsidR="00687CB2" w:rsidRPr="00DB30D7" w:rsidRDefault="001E11F9" w:rsidP="001C50E8">
      <w:pPr>
        <w:spacing w:before="80" w:after="60" w:line="259" w:lineRule="auto"/>
        <w:rPr>
          <w:i/>
          <w:iCs/>
          <w:sz w:val="14"/>
          <w:szCs w:val="14"/>
          <w:lang w:val="en-GB"/>
        </w:rPr>
      </w:pPr>
      <w:r w:rsidRPr="00DB30D7">
        <w:rPr>
          <w:i/>
          <w:iCs/>
          <w:sz w:val="14"/>
          <w:szCs w:val="14"/>
        </w:rPr>
        <w:t xml:space="preserve">Fig. 2. Methodological literature map for </w:t>
      </w:r>
      <w:proofErr w:type="spellStart"/>
      <w:r w:rsidRPr="00DB30D7">
        <w:rPr>
          <w:i/>
          <w:iCs/>
          <w:sz w:val="14"/>
          <w:szCs w:val="14"/>
        </w:rPr>
        <w:t>CVaR</w:t>
      </w:r>
      <w:proofErr w:type="spellEnd"/>
      <w:r w:rsidRPr="00DB30D7">
        <w:rPr>
          <w:i/>
          <w:iCs/>
          <w:sz w:val="14"/>
          <w:szCs w:val="14"/>
        </w:rPr>
        <w:t xml:space="preserve">-based portfolio </w:t>
      </w:r>
      <w:proofErr w:type="spellStart"/>
      <w:r w:rsidRPr="00DB30D7">
        <w:rPr>
          <w:i/>
          <w:iCs/>
          <w:sz w:val="14"/>
          <w:szCs w:val="14"/>
        </w:rPr>
        <w:t>optimisation</w:t>
      </w:r>
      <w:proofErr w:type="spellEnd"/>
      <w:r w:rsidRPr="00DB30D7">
        <w:rPr>
          <w:i/>
          <w:iCs/>
          <w:sz w:val="14"/>
          <w:szCs w:val="14"/>
        </w:rPr>
        <w:t>.</w:t>
      </w:r>
    </w:p>
    <w:p w14:paraId="2D4918A6" w14:textId="28784FA7" w:rsidR="00687CB2" w:rsidRPr="00687CB2" w:rsidRDefault="00107140" w:rsidP="001C50E8">
      <w:pPr>
        <w:spacing w:before="80" w:after="60" w:line="259" w:lineRule="auto"/>
      </w:pPr>
      <w:r w:rsidRPr="00107140">
        <w:t xml:space="preserve">Fig. 2 </w:t>
      </w:r>
      <w:proofErr w:type="spellStart"/>
      <w:r w:rsidRPr="00107140">
        <w:t>organises</w:t>
      </w:r>
      <w:proofErr w:type="spellEnd"/>
      <w:r w:rsidRPr="00107140">
        <w:t xml:space="preserve"> the reviewed methodological literature into data employed, process and candidate techniques, and evaluation and testing strategies. The map shows that prior studies mainly rely on secondary financial data and </w:t>
      </w:r>
      <w:proofErr w:type="spellStart"/>
      <w:r w:rsidRPr="00107140">
        <w:t>backtesting</w:t>
      </w:r>
      <w:proofErr w:type="spellEnd"/>
      <w:r w:rsidRPr="00107140">
        <w:t xml:space="preserve">-based evaluation, but differ </w:t>
      </w:r>
      <w:r w:rsidRPr="00107140">
        <w:t xml:space="preserve">substantially in portfolio-construction complexity. The final branch highlights the gap addressed by the present study, namely a simpler and more transparent comparison of Equal-Weight, Minimum-Variance, and </w:t>
      </w:r>
      <w:proofErr w:type="spellStart"/>
      <w:r w:rsidRPr="00107140">
        <w:t>CVaR-minimisation</w:t>
      </w:r>
      <w:proofErr w:type="spellEnd"/>
      <w:r w:rsidRPr="00107140">
        <w:t xml:space="preserve"> strategies in a Malta-accessible UCITS ETF setting under identical long-only conditions</w:t>
      </w:r>
      <w:r w:rsidR="00687CB2" w:rsidRPr="00687CB2">
        <w:t>.</w:t>
      </w:r>
    </w:p>
    <w:p w14:paraId="4577F114" w14:textId="19932125" w:rsidR="003551D6" w:rsidRPr="003551D6" w:rsidRDefault="003551D6" w:rsidP="003551D6">
      <w:pPr>
        <w:spacing w:before="80" w:after="60" w:line="259" w:lineRule="auto"/>
        <w:rPr>
          <w:b/>
          <w:bCs/>
          <w:lang w:val="en-GB"/>
        </w:rPr>
      </w:pPr>
      <w:r w:rsidRPr="003551D6">
        <w:rPr>
          <w:b/>
          <w:bCs/>
          <w:lang w:val="en-GB"/>
        </w:rPr>
        <w:t>A. Overview</w:t>
      </w:r>
      <w:r w:rsidR="00E91E69">
        <w:rPr>
          <w:b/>
          <w:bCs/>
          <w:lang w:val="en-GB"/>
        </w:rPr>
        <w:t xml:space="preserve"> </w:t>
      </w:r>
      <w:r w:rsidR="00E91E69" w:rsidRPr="00E91E69">
        <w:rPr>
          <w:b/>
          <w:bCs/>
        </w:rPr>
        <w:t>of reviewed methodologies</w:t>
      </w:r>
    </w:p>
    <w:p w14:paraId="25686043" w14:textId="64AB550E" w:rsidR="003551D6" w:rsidRDefault="003551D6" w:rsidP="003551D6">
      <w:pPr>
        <w:spacing w:before="80" w:after="60" w:line="259" w:lineRule="auto"/>
        <w:rPr>
          <w:lang w:val="en-GB"/>
        </w:rPr>
      </w:pPr>
      <w:r w:rsidRPr="003551D6">
        <w:rPr>
          <w:lang w:val="en-GB"/>
        </w:rPr>
        <w:t>A</w:t>
      </w:r>
      <w:r w:rsidR="007F59F9" w:rsidRPr="007F59F9">
        <w:t xml:space="preserve"> consistent methodological pattern across the reviewed studies is the use of a positivist, quantitative design based on secondary financial data. Rather than using interviews or surveys, the reviewed papers typically rely on historical price or return series and assess portfolio-construction rules through computational testing. This broad methodological direction aligns closely with the present study, which also examines objectively measurable portfolio outcomes under controlled </w:t>
      </w:r>
      <w:proofErr w:type="spellStart"/>
      <w:r w:rsidR="007F59F9" w:rsidRPr="007F59F9">
        <w:t>backtesting</w:t>
      </w:r>
      <w:proofErr w:type="spellEnd"/>
      <w:r w:rsidR="007F59F9" w:rsidRPr="007F59F9">
        <w:t xml:space="preserve"> conditions. Accordingly, the literature map for the present study is </w:t>
      </w:r>
      <w:proofErr w:type="spellStart"/>
      <w:r w:rsidR="007F59F9" w:rsidRPr="007F59F9">
        <w:t>organised</w:t>
      </w:r>
      <w:proofErr w:type="spellEnd"/>
      <w:r w:rsidR="007F59F9" w:rsidRPr="007F59F9">
        <w:t xml:space="preserve"> around data, process, and evaluation, as illustrated in Fig. 2.</w:t>
      </w:r>
      <w:r w:rsidR="00367402">
        <w:rPr>
          <w:lang w:val="en-GB"/>
        </w:rPr>
        <w:t xml:space="preserve"> </w:t>
      </w:r>
    </w:p>
    <w:p w14:paraId="07B4D153" w14:textId="443E18FB" w:rsidR="003551D6" w:rsidRPr="003551D6" w:rsidRDefault="003551D6" w:rsidP="003551D6">
      <w:pPr>
        <w:spacing w:before="80" w:after="60" w:line="259" w:lineRule="auto"/>
        <w:rPr>
          <w:b/>
          <w:bCs/>
          <w:lang w:val="en-GB"/>
        </w:rPr>
      </w:pPr>
      <w:r w:rsidRPr="003551D6">
        <w:rPr>
          <w:b/>
          <w:bCs/>
          <w:lang w:val="en-GB"/>
        </w:rPr>
        <w:t>B. Data employed</w:t>
      </w:r>
      <w:r w:rsidR="007249CD">
        <w:rPr>
          <w:b/>
          <w:bCs/>
          <w:lang w:val="en-GB"/>
        </w:rPr>
        <w:t xml:space="preserve"> </w:t>
      </w:r>
      <w:r w:rsidR="007249CD" w:rsidRPr="007249CD">
        <w:rPr>
          <w:b/>
          <w:bCs/>
        </w:rPr>
        <w:t>in prior studies</w:t>
      </w:r>
    </w:p>
    <w:p w14:paraId="3ECF0BD5" w14:textId="77777777" w:rsidR="003551D6" w:rsidRPr="003551D6" w:rsidRDefault="003551D6" w:rsidP="003551D6">
      <w:pPr>
        <w:spacing w:before="80" w:after="60" w:line="259" w:lineRule="auto"/>
        <w:rPr>
          <w:lang w:val="en-GB"/>
        </w:rPr>
      </w:pPr>
      <w:r w:rsidRPr="003551D6">
        <w:rPr>
          <w:lang w:val="en-GB"/>
        </w:rPr>
        <w:t xml:space="preserve">The reviewed literature shows that portfolio-optimisation research commonly uses historical market data covering several years so that both normal and stressed market conditions are represented. Muñoz and Cifuentes [1], for example, analyse historical returns from 2004 to 2023 and deliberately include major crisis periods to test the stability of mean-variance and </w:t>
      </w:r>
      <w:proofErr w:type="spellStart"/>
      <w:r w:rsidRPr="003551D6">
        <w:rPr>
          <w:lang w:val="en-GB"/>
        </w:rPr>
        <w:t>CVaR</w:t>
      </w:r>
      <w:proofErr w:type="spellEnd"/>
      <w:r w:rsidRPr="003551D6">
        <w:rPr>
          <w:lang w:val="en-GB"/>
        </w:rPr>
        <w:t xml:space="preserve"> formulations. </w:t>
      </w:r>
      <w:r w:rsidRPr="00042855">
        <w:rPr>
          <w:highlight w:val="red"/>
          <w:lang w:val="en-GB"/>
        </w:rPr>
        <w:t>Their use of rolling windows is methodologically valuable because it allows repeated comparison across time rather than relying on a single in-sample period.</w:t>
      </w:r>
    </w:p>
    <w:p w14:paraId="2805CA70" w14:textId="77777777" w:rsidR="003551D6" w:rsidRPr="003551D6" w:rsidRDefault="003551D6" w:rsidP="003551D6">
      <w:pPr>
        <w:spacing w:before="80" w:after="60" w:line="259" w:lineRule="auto"/>
        <w:rPr>
          <w:lang w:val="en-GB"/>
        </w:rPr>
      </w:pPr>
      <w:proofErr w:type="spellStart"/>
      <w:r w:rsidRPr="003551D6">
        <w:rPr>
          <w:lang w:val="en-GB"/>
        </w:rPr>
        <w:t>Teplova</w:t>
      </w:r>
      <w:proofErr w:type="spellEnd"/>
      <w:r w:rsidRPr="003551D6">
        <w:rPr>
          <w:lang w:val="en-GB"/>
        </w:rPr>
        <w:t xml:space="preserve"> et al. [3] also use a long historical dataset, drawing on daily returns from international ETFs between 2012 and 2022. </w:t>
      </w:r>
      <w:r w:rsidRPr="007927DC">
        <w:rPr>
          <w:highlight w:val="red"/>
          <w:lang w:val="en-GB"/>
        </w:rPr>
        <w:t>This is particularly relevant because ETFs are also the asset class used in the present study. Their data design supports realistic comparison between portfolio rules while also enabling out-of-sample testing.</w:t>
      </w:r>
    </w:p>
    <w:p w14:paraId="0133FF49" w14:textId="77777777" w:rsidR="003551D6" w:rsidRPr="003551D6" w:rsidRDefault="003551D6" w:rsidP="003551D6">
      <w:pPr>
        <w:spacing w:before="80" w:after="60" w:line="259" w:lineRule="auto"/>
        <w:rPr>
          <w:lang w:val="en-GB"/>
        </w:rPr>
      </w:pPr>
      <w:r w:rsidRPr="003551D6">
        <w:rPr>
          <w:lang w:val="en-GB"/>
        </w:rPr>
        <w:t xml:space="preserve">By contrast, </w:t>
      </w:r>
      <w:proofErr w:type="spellStart"/>
      <w:r w:rsidRPr="003551D6">
        <w:rPr>
          <w:lang w:val="en-GB"/>
        </w:rPr>
        <w:t>Nasini</w:t>
      </w:r>
      <w:proofErr w:type="spellEnd"/>
      <w:r w:rsidRPr="003551D6">
        <w:rPr>
          <w:lang w:val="en-GB"/>
        </w:rPr>
        <w:t xml:space="preserve"> et al. [4] use a much larger firm-level dataset across thousands of U.S. listed companies, while Cui et al. [5] focus on cryptocurrency returns. Kobayashi et al. [6] also work with large asset universes in a robust optimisation setting. These studies show that broader datasets are possible, but they also increase modelling and computational complexity. For the current research, a Malta-accessible UCITS ETF basket is more appropriate because it remains sufficiently diversified while preserving transparency, feasibility, and direct relevance to the stated research context.</w:t>
      </w:r>
    </w:p>
    <w:p w14:paraId="42D549C5" w14:textId="77777777" w:rsidR="003551D6" w:rsidRPr="003551D6" w:rsidRDefault="003551D6" w:rsidP="003551D6">
      <w:pPr>
        <w:spacing w:before="80" w:after="60" w:line="259" w:lineRule="auto"/>
        <w:rPr>
          <w:lang w:val="en-GB"/>
        </w:rPr>
      </w:pPr>
      <w:r w:rsidRPr="007927DC">
        <w:rPr>
          <w:highlight w:val="red"/>
          <w:lang w:val="en-GB"/>
        </w:rPr>
        <w:t xml:space="preserve">Overall, the literature suggests that the most suitable data strategy for the present study is a secondary </w:t>
      </w:r>
      <w:r w:rsidRPr="007927DC">
        <w:rPr>
          <w:highlight w:val="red"/>
          <w:lang w:val="en-GB"/>
        </w:rPr>
        <w:lastRenderedPageBreak/>
        <w:t>dataset of historical ETF prices and returns, covering a sufficiently long period to include both calm and turbulent market conditions, while keeping the investable universe constant across all tested strategies.</w:t>
      </w:r>
    </w:p>
    <w:p w14:paraId="424F2F0E" w14:textId="7729EA00" w:rsidR="00214C80" w:rsidRPr="00214C80" w:rsidRDefault="00214C80" w:rsidP="00214C80">
      <w:pPr>
        <w:spacing w:before="80" w:after="60" w:line="259" w:lineRule="auto"/>
        <w:rPr>
          <w:b/>
          <w:bCs/>
          <w:lang w:val="en-GB"/>
        </w:rPr>
      </w:pPr>
      <w:r w:rsidRPr="00214C80">
        <w:rPr>
          <w:b/>
          <w:bCs/>
          <w:lang w:val="en-GB"/>
        </w:rPr>
        <w:t xml:space="preserve">C. </w:t>
      </w:r>
      <w:r w:rsidR="00923980" w:rsidRPr="00923980">
        <w:rPr>
          <w:b/>
          <w:bCs/>
        </w:rPr>
        <w:t>Portfolio-construction</w:t>
      </w:r>
      <w:r w:rsidR="00923980">
        <w:rPr>
          <w:b/>
          <w:bCs/>
        </w:rPr>
        <w:t xml:space="preserve"> </w:t>
      </w:r>
      <w:r w:rsidR="00803422">
        <w:rPr>
          <w:b/>
          <w:bCs/>
          <w:lang w:val="en-GB"/>
        </w:rPr>
        <w:t>p</w:t>
      </w:r>
      <w:r w:rsidRPr="00214C80">
        <w:rPr>
          <w:b/>
          <w:bCs/>
          <w:lang w:val="en-GB"/>
        </w:rPr>
        <w:t>rocess and candidate techniques</w:t>
      </w:r>
    </w:p>
    <w:p w14:paraId="72CD0E9D" w14:textId="77777777" w:rsidR="00214C80" w:rsidRPr="00214C80" w:rsidRDefault="00214C80" w:rsidP="00214C80">
      <w:pPr>
        <w:spacing w:before="80" w:after="60" w:line="259" w:lineRule="auto"/>
        <w:rPr>
          <w:lang w:val="en-GB"/>
        </w:rPr>
      </w:pPr>
      <w:r w:rsidRPr="007927DC">
        <w:rPr>
          <w:highlight w:val="red"/>
          <w:lang w:val="en-GB"/>
        </w:rPr>
        <w:t xml:space="preserve">The reviewed studies show that the main methodological distinction lies in the portfolio-construction process. Some studies compare classical benchmark approaches, while others embed </w:t>
      </w:r>
      <w:proofErr w:type="spellStart"/>
      <w:r w:rsidRPr="007927DC">
        <w:rPr>
          <w:highlight w:val="red"/>
          <w:lang w:val="en-GB"/>
        </w:rPr>
        <w:t>CVaR</w:t>
      </w:r>
      <w:proofErr w:type="spellEnd"/>
      <w:r w:rsidRPr="007927DC">
        <w:rPr>
          <w:highlight w:val="red"/>
          <w:lang w:val="en-GB"/>
        </w:rPr>
        <w:t xml:space="preserve"> within more advanced optimisation frameworks.</w:t>
      </w:r>
    </w:p>
    <w:p w14:paraId="60998AFB" w14:textId="77777777" w:rsidR="00D50461" w:rsidRDefault="00214C80" w:rsidP="00214C80">
      <w:pPr>
        <w:spacing w:before="80" w:after="60" w:line="259" w:lineRule="auto"/>
        <w:rPr>
          <w:lang w:val="en-GB"/>
        </w:rPr>
      </w:pPr>
      <w:r w:rsidRPr="00214C80">
        <w:rPr>
          <w:lang w:val="en-GB"/>
        </w:rPr>
        <w:t xml:space="preserve">Muñoz and Cifuentes [1] provide the clearest benchmark-comparison methodology. They compare mean-variance and </w:t>
      </w:r>
      <w:proofErr w:type="spellStart"/>
      <w:r w:rsidRPr="00214C80">
        <w:rPr>
          <w:lang w:val="en-GB"/>
        </w:rPr>
        <w:t>CVaR</w:t>
      </w:r>
      <w:proofErr w:type="spellEnd"/>
      <w:r w:rsidRPr="00214C80">
        <w:rPr>
          <w:lang w:val="en-GB"/>
        </w:rPr>
        <w:t xml:space="preserve"> formulations under the same target-return structure, which isolates the effect of the risk metric itself. This is highly relevant to the present study because it demonstrates how a fair experimental comparison can be achieved when constraints and data inputs are held constant.</w:t>
      </w:r>
    </w:p>
    <w:p w14:paraId="5AE9286C" w14:textId="54767CAB" w:rsidR="00214C80" w:rsidRPr="00214C80" w:rsidRDefault="00214C80" w:rsidP="00214C80">
      <w:pPr>
        <w:spacing w:before="80" w:after="60" w:line="259" w:lineRule="auto"/>
        <w:rPr>
          <w:lang w:val="en-GB"/>
        </w:rPr>
      </w:pPr>
      <w:proofErr w:type="spellStart"/>
      <w:r w:rsidRPr="00214C80">
        <w:rPr>
          <w:lang w:val="en-GB"/>
        </w:rPr>
        <w:t>Teplova</w:t>
      </w:r>
      <w:proofErr w:type="spellEnd"/>
      <w:r w:rsidRPr="00214C80">
        <w:rPr>
          <w:lang w:val="en-GB"/>
        </w:rPr>
        <w:t xml:space="preserve"> et al. [3] extend the process stage through copula modelling and a Black-</w:t>
      </w:r>
      <w:proofErr w:type="spellStart"/>
      <w:r w:rsidRPr="00214C80">
        <w:rPr>
          <w:lang w:val="en-GB"/>
        </w:rPr>
        <w:t>Litterman</w:t>
      </w:r>
      <w:proofErr w:type="spellEnd"/>
      <w:r w:rsidRPr="00214C80">
        <w:rPr>
          <w:lang w:val="en-GB"/>
        </w:rPr>
        <w:t xml:space="preserve"> mean-</w:t>
      </w:r>
      <w:proofErr w:type="spellStart"/>
      <w:r w:rsidRPr="00214C80">
        <w:rPr>
          <w:lang w:val="en-GB"/>
        </w:rPr>
        <w:t>CVaR</w:t>
      </w:r>
      <w:proofErr w:type="spellEnd"/>
      <w:r w:rsidRPr="00214C80">
        <w:rPr>
          <w:lang w:val="en-GB"/>
        </w:rPr>
        <w:t xml:space="preserve"> framework. Their methodology is rigorous, but it depends on parameter calibration, investor-view modelling, and dependence-structure estimation. </w:t>
      </w:r>
      <w:proofErr w:type="spellStart"/>
      <w:r w:rsidRPr="00214C80">
        <w:rPr>
          <w:lang w:val="en-GB"/>
        </w:rPr>
        <w:t>Kaucic</w:t>
      </w:r>
      <w:proofErr w:type="spellEnd"/>
      <w:r w:rsidRPr="00214C80">
        <w:rPr>
          <w:lang w:val="en-GB"/>
        </w:rPr>
        <w:t xml:space="preserve"> et al. [2] instead treat the process stage as a multi-objective evolutionary search problem, comparing variants of NSGA-II and SPEA 2 under downside-risk measures such as semi-variance and </w:t>
      </w:r>
      <w:proofErr w:type="spellStart"/>
      <w:r w:rsidRPr="00214C80">
        <w:rPr>
          <w:lang w:val="en-GB"/>
        </w:rPr>
        <w:t>CVaR</w:t>
      </w:r>
      <w:proofErr w:type="spellEnd"/>
      <w:r w:rsidRPr="00214C80">
        <w:rPr>
          <w:lang w:val="en-GB"/>
        </w:rPr>
        <w:t xml:space="preserve">. </w:t>
      </w:r>
      <w:proofErr w:type="spellStart"/>
      <w:r w:rsidRPr="00214C80">
        <w:rPr>
          <w:lang w:val="en-GB"/>
        </w:rPr>
        <w:t>Nasini</w:t>
      </w:r>
      <w:proofErr w:type="spellEnd"/>
      <w:r w:rsidRPr="00214C80">
        <w:rPr>
          <w:lang w:val="en-GB"/>
        </w:rPr>
        <w:t xml:space="preserve"> et al. [4] introduce a bilevel multi-market formulation, while Kobayashi et al. [6] use distributionally robust optimisation with cardinality constraints. Cui et al. [5] move further still by integrating deep reinforcement learning into a mean-</w:t>
      </w:r>
      <w:proofErr w:type="spellStart"/>
      <w:r w:rsidRPr="00214C80">
        <w:rPr>
          <w:lang w:val="en-GB"/>
        </w:rPr>
        <w:t>CVaR</w:t>
      </w:r>
      <w:proofErr w:type="spellEnd"/>
      <w:r w:rsidRPr="00214C80">
        <w:rPr>
          <w:lang w:val="en-GB"/>
        </w:rPr>
        <w:t xml:space="preserve"> framework.</w:t>
      </w:r>
    </w:p>
    <w:p w14:paraId="1F7E030D" w14:textId="2831D0D4" w:rsidR="00F801E8" w:rsidRPr="00F801E8" w:rsidRDefault="00214C80" w:rsidP="00214C80">
      <w:pPr>
        <w:spacing w:before="80" w:after="60" w:line="259" w:lineRule="auto"/>
        <w:rPr>
          <w:lang w:val="en-GB"/>
        </w:rPr>
      </w:pPr>
      <w:r w:rsidRPr="007927DC">
        <w:rPr>
          <w:highlight w:val="red"/>
          <w:lang w:val="en-GB"/>
        </w:rPr>
        <w:t xml:space="preserve">These advanced methodologies are useful as evidence that </w:t>
      </w:r>
      <w:proofErr w:type="spellStart"/>
      <w:r w:rsidRPr="007927DC">
        <w:rPr>
          <w:highlight w:val="red"/>
          <w:lang w:val="en-GB"/>
        </w:rPr>
        <w:t>CVaR</w:t>
      </w:r>
      <w:proofErr w:type="spellEnd"/>
      <w:r w:rsidRPr="007927DC">
        <w:rPr>
          <w:highlight w:val="red"/>
          <w:lang w:val="en-GB"/>
        </w:rPr>
        <w:t xml:space="preserve"> is a mature and flexible risk measure, but they are not ideal templates for the present project. The current study is not intended to propose a highly specialised optimisation engine. Instead, it aims to compare three portfolio-construction rules under identical conditions: Equal-Weight, Minimum-Variance, and </w:t>
      </w:r>
      <w:proofErr w:type="spellStart"/>
      <w:r w:rsidRPr="007927DC">
        <w:rPr>
          <w:highlight w:val="red"/>
          <w:lang w:val="en-GB"/>
        </w:rPr>
        <w:t>CVaR</w:t>
      </w:r>
      <w:proofErr w:type="spellEnd"/>
      <w:r w:rsidRPr="007927DC">
        <w:rPr>
          <w:highlight w:val="red"/>
          <w:lang w:val="en-GB"/>
        </w:rPr>
        <w:t>-minimisation. This choice is methodologically stronger for the present study because it prioritises interpretability, control, and reproducibility over algorithmic novelty.</w:t>
      </w:r>
    </w:p>
    <w:p w14:paraId="205B0DC2" w14:textId="2224CAC5" w:rsidR="00187189" w:rsidRPr="00187189" w:rsidRDefault="00187189" w:rsidP="00187189">
      <w:pPr>
        <w:spacing w:before="80" w:after="60" w:line="259" w:lineRule="auto"/>
        <w:rPr>
          <w:b/>
          <w:bCs/>
          <w:lang w:val="en-GB"/>
        </w:rPr>
      </w:pPr>
      <w:r w:rsidRPr="00187189">
        <w:rPr>
          <w:b/>
          <w:bCs/>
          <w:lang w:val="en-GB"/>
        </w:rPr>
        <w:t xml:space="preserve">D. Evaluation </w:t>
      </w:r>
      <w:r w:rsidR="00464B93" w:rsidRPr="00464B93">
        <w:rPr>
          <w:b/>
          <w:bCs/>
        </w:rPr>
        <w:t>and testing strategies</w:t>
      </w:r>
    </w:p>
    <w:p w14:paraId="602B9A99" w14:textId="77777777" w:rsidR="00187189" w:rsidRPr="00187189" w:rsidRDefault="00187189" w:rsidP="00187189">
      <w:pPr>
        <w:spacing w:before="80" w:after="60" w:line="259" w:lineRule="auto"/>
        <w:rPr>
          <w:lang w:val="en-GB"/>
        </w:rPr>
      </w:pPr>
      <w:r w:rsidRPr="00042855">
        <w:rPr>
          <w:highlight w:val="red"/>
          <w:lang w:val="en-GB"/>
        </w:rPr>
        <w:t>The literature also shows a clear methodological pattern in the evaluation stage. Studies rarely stop at in-sample optimisation. Instead, they use out-of-sample testing and compare strategies through financial performance and risk metrics.</w:t>
      </w:r>
    </w:p>
    <w:p w14:paraId="03D6D898" w14:textId="77777777" w:rsidR="00187189" w:rsidRPr="00187189" w:rsidRDefault="00187189" w:rsidP="00187189">
      <w:pPr>
        <w:spacing w:before="80" w:after="60" w:line="259" w:lineRule="auto"/>
        <w:rPr>
          <w:lang w:val="en-GB"/>
        </w:rPr>
      </w:pPr>
      <w:r w:rsidRPr="00187189">
        <w:rPr>
          <w:lang w:val="en-GB"/>
        </w:rPr>
        <w:t xml:space="preserve">Muñoz and Cifuentes [1] use rolling windows and assess the similarity or difference between resulting portfolios under different risk formulations. </w:t>
      </w:r>
      <w:proofErr w:type="spellStart"/>
      <w:r w:rsidRPr="00187189">
        <w:rPr>
          <w:lang w:val="en-GB"/>
        </w:rPr>
        <w:t>Teplova</w:t>
      </w:r>
      <w:proofErr w:type="spellEnd"/>
      <w:r w:rsidRPr="00187189">
        <w:rPr>
          <w:lang w:val="en-GB"/>
        </w:rPr>
        <w:t xml:space="preserve"> et </w:t>
      </w:r>
      <w:r w:rsidRPr="00187189">
        <w:rPr>
          <w:lang w:val="en-GB"/>
        </w:rPr>
        <w:t xml:space="preserve">al. [3] evaluate portfolio performance against benchmark strategies and report risk-adjusted outcomes as well as tail-risk behaviour. Kobayashi et al. [6] also use out-of-sample investment performance measures, while </w:t>
      </w:r>
      <w:proofErr w:type="spellStart"/>
      <w:r w:rsidRPr="00187189">
        <w:rPr>
          <w:lang w:val="en-GB"/>
        </w:rPr>
        <w:t>Kaucic</w:t>
      </w:r>
      <w:proofErr w:type="spellEnd"/>
      <w:r w:rsidRPr="00187189">
        <w:rPr>
          <w:lang w:val="en-GB"/>
        </w:rPr>
        <w:t xml:space="preserve"> et al. [2] assess optimisation quality through Pareto-front indicators in addition to portfolio risk measures.</w:t>
      </w:r>
    </w:p>
    <w:p w14:paraId="1616504C" w14:textId="0C23D1C8" w:rsidR="004B5D39" w:rsidRPr="004B5D39" w:rsidRDefault="00187189" w:rsidP="00187189">
      <w:pPr>
        <w:spacing w:before="80" w:after="60" w:line="259" w:lineRule="auto"/>
        <w:rPr>
          <w:lang w:val="en-GB"/>
        </w:rPr>
      </w:pPr>
      <w:r w:rsidRPr="00187189">
        <w:rPr>
          <w:lang w:val="en-GB"/>
        </w:rPr>
        <w:t xml:space="preserve">Across the reviewed studies, the most relevant evaluation measures for the present research are those that capture both return and downside risk. In particular, CAGR, volatility, Sharpe ratio, </w:t>
      </w:r>
      <w:proofErr w:type="spellStart"/>
      <w:r w:rsidRPr="00187189">
        <w:rPr>
          <w:lang w:val="en-GB"/>
        </w:rPr>
        <w:t>Sortino</w:t>
      </w:r>
      <w:proofErr w:type="spellEnd"/>
      <w:r w:rsidRPr="00187189">
        <w:rPr>
          <w:lang w:val="en-GB"/>
        </w:rPr>
        <w:t xml:space="preserve"> ratio, </w:t>
      </w:r>
      <w:proofErr w:type="spellStart"/>
      <w:r w:rsidRPr="00187189">
        <w:rPr>
          <w:lang w:val="en-GB"/>
        </w:rPr>
        <w:t>VaR</w:t>
      </w:r>
      <w:proofErr w:type="spellEnd"/>
      <w:r w:rsidRPr="00187189">
        <w:rPr>
          <w:lang w:val="en-GB"/>
        </w:rPr>
        <w:t xml:space="preserve">, </w:t>
      </w:r>
      <w:proofErr w:type="spellStart"/>
      <w:r w:rsidRPr="00187189">
        <w:rPr>
          <w:lang w:val="en-GB"/>
        </w:rPr>
        <w:t>CVaR</w:t>
      </w:r>
      <w:proofErr w:type="spellEnd"/>
      <w:r w:rsidRPr="00187189">
        <w:rPr>
          <w:lang w:val="en-GB"/>
        </w:rPr>
        <w:t xml:space="preserve">, and maximum drawdown appear suitable because they allow direct comparison between standard performance and tail-risk protection. </w:t>
      </w:r>
      <w:r w:rsidRPr="00042855">
        <w:rPr>
          <w:highlight w:val="red"/>
          <w:lang w:val="en-GB"/>
        </w:rPr>
        <w:t xml:space="preserve">This is important because the study hypothesis does not claim that </w:t>
      </w:r>
      <w:proofErr w:type="spellStart"/>
      <w:r w:rsidRPr="00042855">
        <w:rPr>
          <w:highlight w:val="red"/>
          <w:lang w:val="en-GB"/>
        </w:rPr>
        <w:t>CVaR</w:t>
      </w:r>
      <w:proofErr w:type="spellEnd"/>
      <w:r w:rsidRPr="00042855">
        <w:rPr>
          <w:highlight w:val="red"/>
          <w:lang w:val="en-GB"/>
        </w:rPr>
        <w:t xml:space="preserve">-minimisation will maximise returns; rather, it tests whether </w:t>
      </w:r>
      <w:proofErr w:type="spellStart"/>
      <w:r w:rsidRPr="00042855">
        <w:rPr>
          <w:highlight w:val="red"/>
          <w:lang w:val="en-GB"/>
        </w:rPr>
        <w:t>CVaR</w:t>
      </w:r>
      <w:proofErr w:type="spellEnd"/>
      <w:r w:rsidRPr="00042855">
        <w:rPr>
          <w:highlight w:val="red"/>
          <w:lang w:val="en-GB"/>
        </w:rPr>
        <w:t>-minimisation improves downside-risk control without materially worsening return-based outcomes.</w:t>
      </w:r>
    </w:p>
    <w:p w14:paraId="7898BA3D" w14:textId="7816526D" w:rsidR="00331EB9" w:rsidRPr="00331EB9" w:rsidRDefault="00331EB9" w:rsidP="00331EB9">
      <w:pPr>
        <w:spacing w:before="80" w:after="60" w:line="259" w:lineRule="auto"/>
        <w:rPr>
          <w:b/>
          <w:bCs/>
          <w:lang w:val="en-GB"/>
        </w:rPr>
      </w:pPr>
      <w:r w:rsidRPr="00331EB9">
        <w:rPr>
          <w:b/>
          <w:bCs/>
          <w:lang w:val="en-GB"/>
        </w:rPr>
        <w:t>E. Comparative synthesis</w:t>
      </w:r>
      <w:r w:rsidR="00F24A26">
        <w:rPr>
          <w:b/>
          <w:bCs/>
          <w:lang w:val="en-GB"/>
        </w:rPr>
        <w:t xml:space="preserve"> </w:t>
      </w:r>
      <w:r w:rsidR="00F24A26" w:rsidRPr="00F24A26">
        <w:rPr>
          <w:b/>
          <w:bCs/>
        </w:rPr>
        <w:t>and methodological gap</w:t>
      </w:r>
    </w:p>
    <w:p w14:paraId="162DA043" w14:textId="77777777" w:rsidR="00331EB9" w:rsidRPr="00331EB9" w:rsidRDefault="00331EB9" w:rsidP="00331EB9">
      <w:pPr>
        <w:spacing w:before="80" w:after="60" w:line="259" w:lineRule="auto"/>
        <w:rPr>
          <w:lang w:val="en-GB"/>
        </w:rPr>
      </w:pPr>
      <w:r w:rsidRPr="00331EB9">
        <w:rPr>
          <w:lang w:val="en-GB"/>
        </w:rPr>
        <w:t>Taken together, the reviewed literature supports three main conclusions.</w:t>
      </w:r>
    </w:p>
    <w:p w14:paraId="6F69E59B" w14:textId="77777777" w:rsidR="00331EB9" w:rsidRPr="00331EB9" w:rsidRDefault="00331EB9" w:rsidP="00331EB9">
      <w:pPr>
        <w:spacing w:before="80" w:after="60" w:line="259" w:lineRule="auto"/>
        <w:rPr>
          <w:lang w:val="en-GB"/>
        </w:rPr>
      </w:pPr>
      <w:r w:rsidRPr="00B667CF">
        <w:rPr>
          <w:highlight w:val="red"/>
          <w:lang w:val="en-GB"/>
        </w:rPr>
        <w:t xml:space="preserve">First, the dominant research tradition in this area is quantitative, secondary-data, and </w:t>
      </w:r>
      <w:proofErr w:type="spellStart"/>
      <w:r w:rsidRPr="00B667CF">
        <w:rPr>
          <w:highlight w:val="red"/>
          <w:lang w:val="en-GB"/>
        </w:rPr>
        <w:t>backtesting</w:t>
      </w:r>
      <w:proofErr w:type="spellEnd"/>
      <w:r w:rsidRPr="00B667CF">
        <w:rPr>
          <w:highlight w:val="red"/>
          <w:lang w:val="en-GB"/>
        </w:rPr>
        <w:t>-based. This strongly supports the philosophical and methodological position already established in Section I and illustrated in Fig. 1.</w:t>
      </w:r>
    </w:p>
    <w:p w14:paraId="4C9A5F26" w14:textId="77777777" w:rsidR="00331EB9" w:rsidRPr="00331EB9" w:rsidRDefault="00331EB9" w:rsidP="00331EB9">
      <w:pPr>
        <w:spacing w:before="80" w:after="60" w:line="259" w:lineRule="auto"/>
        <w:rPr>
          <w:lang w:val="en-GB"/>
        </w:rPr>
      </w:pPr>
      <w:r w:rsidRPr="00331EB9">
        <w:rPr>
          <w:lang w:val="en-GB"/>
        </w:rPr>
        <w:t>Second, the strongest comparative designs are those that keep the dataset, constraints, and testing framework constant while varying only the portfolio rule. This is the methodological logic most clearly visible in Muñoz and Cifuentes [1], and it is the one most appropriate for the present study.</w:t>
      </w:r>
    </w:p>
    <w:p w14:paraId="594107C0" w14:textId="0AF8A755" w:rsidR="00331EB9" w:rsidRDefault="00331EB9" w:rsidP="00331EB9">
      <w:pPr>
        <w:spacing w:before="80" w:after="60" w:line="259" w:lineRule="auto"/>
      </w:pPr>
      <w:r w:rsidRPr="00331EB9">
        <w:rPr>
          <w:lang w:val="en-GB"/>
        </w:rPr>
        <w:t xml:space="preserve">Third, although advanced methods such as copulas, bilevel programming, evolutionary optimisation, robust optimisation, and deep reinforcement learning increase technical novelty, they also introduce greater complexity and reduce transparency. </w:t>
      </w:r>
      <w:r w:rsidR="00FC0B2F" w:rsidRPr="00B667CF">
        <w:rPr>
          <w:highlight w:val="red"/>
          <w:lang w:val="en-GB"/>
        </w:rPr>
        <w:t xml:space="preserve">For this research </w:t>
      </w:r>
      <w:r w:rsidR="00FC0B2F" w:rsidRPr="00B667CF">
        <w:rPr>
          <w:highlight w:val="red"/>
        </w:rPr>
        <w:t>a simpler controlled comparison of benchmark strategies is methodologically more appropriate.</w:t>
      </w:r>
    </w:p>
    <w:p w14:paraId="1D87C150" w14:textId="0DE12F2B" w:rsidR="006328A1" w:rsidRDefault="00254D74" w:rsidP="00331EB9">
      <w:pPr>
        <w:spacing w:before="80" w:after="60" w:line="259" w:lineRule="auto"/>
      </w:pPr>
      <w:r>
        <w:t>Finally, a</w:t>
      </w:r>
      <w:r w:rsidRPr="00254D74">
        <w:t xml:space="preserve">cross the reviewed studies, the main independent element is the portfolio-construction or </w:t>
      </w:r>
      <w:proofErr w:type="spellStart"/>
      <w:r w:rsidRPr="00254D74">
        <w:t>optimisation</w:t>
      </w:r>
      <w:proofErr w:type="spellEnd"/>
      <w:r w:rsidRPr="00254D74">
        <w:t xml:space="preserve"> method, while the dependent outcomes are portfolio performance and downside-risk measures assessed through out-of-sample testing. Common testing strategies include rolling-window </w:t>
      </w:r>
      <w:proofErr w:type="spellStart"/>
      <w:r w:rsidRPr="00254D74">
        <w:t>backtesting</w:t>
      </w:r>
      <w:proofErr w:type="spellEnd"/>
      <w:r w:rsidRPr="00254D74">
        <w:t>, benchmark comparison, and risk-adjusted performance evaluation.</w:t>
      </w:r>
      <w:r w:rsidR="00AC006E">
        <w:t xml:space="preserve"> </w:t>
      </w:r>
      <w:r w:rsidR="006328A1" w:rsidRPr="00B667CF">
        <w:rPr>
          <w:highlight w:val="red"/>
        </w:rPr>
        <w:t xml:space="preserve">However, despite this methodological maturity, limited evidence compares </w:t>
      </w:r>
      <w:proofErr w:type="spellStart"/>
      <w:r w:rsidR="006328A1" w:rsidRPr="00B667CF">
        <w:rPr>
          <w:highlight w:val="red"/>
        </w:rPr>
        <w:t>CVaR-minimisation</w:t>
      </w:r>
      <w:proofErr w:type="spellEnd"/>
      <w:r w:rsidR="006328A1" w:rsidRPr="00B667CF">
        <w:rPr>
          <w:highlight w:val="red"/>
        </w:rPr>
        <w:t xml:space="preserve">, minimum-variance, and equal-weight strategies in a simple, transparent, Malta-accessible UCITS ETF setting under identical long-only </w:t>
      </w:r>
      <w:proofErr w:type="spellStart"/>
      <w:r w:rsidR="006328A1" w:rsidRPr="00B667CF">
        <w:rPr>
          <w:highlight w:val="red"/>
        </w:rPr>
        <w:t>backtesting</w:t>
      </w:r>
      <w:proofErr w:type="spellEnd"/>
      <w:r w:rsidR="006328A1" w:rsidRPr="00B667CF">
        <w:rPr>
          <w:highlight w:val="red"/>
        </w:rPr>
        <w:t xml:space="preserve"> conditions.</w:t>
      </w:r>
    </w:p>
    <w:p w14:paraId="710453DF" w14:textId="77777777" w:rsidR="00E30076" w:rsidRDefault="00E30076" w:rsidP="00331EB9">
      <w:pPr>
        <w:spacing w:before="80" w:after="60" w:line="259" w:lineRule="auto"/>
      </w:pPr>
    </w:p>
    <w:p w14:paraId="6C07CFBC" w14:textId="4AA5EF07" w:rsidR="00E30076" w:rsidRPr="00E30076" w:rsidRDefault="00E30076" w:rsidP="00331EB9">
      <w:pPr>
        <w:spacing w:before="80" w:after="60" w:line="259" w:lineRule="auto"/>
        <w:rPr>
          <w:b/>
          <w:bCs/>
        </w:rPr>
      </w:pPr>
      <w:r w:rsidRPr="00E30076">
        <w:rPr>
          <w:b/>
          <w:bCs/>
        </w:rPr>
        <w:lastRenderedPageBreak/>
        <w:t>III. RESEARCH METHODOLOGY</w:t>
      </w:r>
    </w:p>
    <w:p w14:paraId="06F27BBD" w14:textId="6F7EC195" w:rsidR="00E30076" w:rsidRDefault="000413D7" w:rsidP="001C50E8">
      <w:pPr>
        <w:spacing w:before="80" w:after="60" w:line="259" w:lineRule="auto"/>
      </w:pPr>
      <w:r w:rsidRPr="00003733">
        <w:rPr>
          <w:highlight w:val="red"/>
        </w:rPr>
        <w:t xml:space="preserve">Portfolio construction depends heavily on how risk </w:t>
      </w:r>
      <w:proofErr w:type="gramStart"/>
      <w:r w:rsidRPr="00003733">
        <w:rPr>
          <w:highlight w:val="red"/>
        </w:rPr>
        <w:t>is defined</w:t>
      </w:r>
      <w:proofErr w:type="gramEnd"/>
      <w:r w:rsidRPr="00003733">
        <w:rPr>
          <w:highlight w:val="red"/>
        </w:rPr>
        <w:t xml:space="preserve"> and measured.</w:t>
      </w:r>
      <w:r w:rsidRPr="000413D7">
        <w:t xml:space="preserve"> Although mean-variance </w:t>
      </w:r>
      <w:proofErr w:type="spellStart"/>
      <w:r w:rsidRPr="000413D7">
        <w:t>optimisation</w:t>
      </w:r>
      <w:proofErr w:type="spellEnd"/>
      <w:r w:rsidRPr="000413D7">
        <w:t xml:space="preserve"> remains a classical benchmark, variance treats upside and downside deviations symmetrically and may therefore understate the practical importance of severe losses during turbulent market conditions [1], [3]. By contrast, Conditional Value-at-Risk (</w:t>
      </w:r>
      <w:proofErr w:type="spellStart"/>
      <w:r w:rsidRPr="000413D7">
        <w:t>CVaR</w:t>
      </w:r>
      <w:proofErr w:type="spellEnd"/>
      <w:r w:rsidRPr="000413D7">
        <w:t xml:space="preserve">) focuses on the average loss beyond the </w:t>
      </w:r>
      <w:proofErr w:type="spellStart"/>
      <w:r w:rsidRPr="000413D7">
        <w:t>VaR</w:t>
      </w:r>
      <w:proofErr w:type="spellEnd"/>
      <w:r w:rsidRPr="000413D7">
        <w:t xml:space="preserve"> threshold and has been widely adopted in portfolio research as a downside-risk measure that is more sensitive to tail losses [1]</w:t>
      </w:r>
      <w:proofErr w:type="gramStart"/>
      <w:r w:rsidRPr="000413D7">
        <w:t>–[</w:t>
      </w:r>
      <w:proofErr w:type="gramEnd"/>
      <w:r w:rsidRPr="000413D7">
        <w:t xml:space="preserve">3]. However, much of the recent literature applies </w:t>
      </w:r>
      <w:proofErr w:type="spellStart"/>
      <w:r w:rsidRPr="000413D7">
        <w:t>CVaR</w:t>
      </w:r>
      <w:proofErr w:type="spellEnd"/>
      <w:r w:rsidRPr="000413D7">
        <w:t xml:space="preserve"> within complex </w:t>
      </w:r>
      <w:proofErr w:type="spellStart"/>
      <w:r w:rsidRPr="000413D7">
        <w:t>optimisation</w:t>
      </w:r>
      <w:proofErr w:type="spellEnd"/>
      <w:r w:rsidRPr="000413D7">
        <w:t xml:space="preserve"> settings such as copula-based models, evolutionary algorithms, robust </w:t>
      </w:r>
      <w:proofErr w:type="spellStart"/>
      <w:r w:rsidRPr="000413D7">
        <w:t>optimisation</w:t>
      </w:r>
      <w:proofErr w:type="spellEnd"/>
      <w:r w:rsidRPr="000413D7">
        <w:t>, or deep reinforcement learning [2]</w:t>
      </w:r>
      <w:proofErr w:type="gramStart"/>
      <w:r w:rsidRPr="000413D7">
        <w:t>–[</w:t>
      </w:r>
      <w:proofErr w:type="gramEnd"/>
      <w:r w:rsidRPr="000413D7">
        <w:t xml:space="preserve">6]. This makes it less clear whether a simpler and more transparent </w:t>
      </w:r>
      <w:proofErr w:type="spellStart"/>
      <w:r w:rsidRPr="000413D7">
        <w:t>CVaR-minimisation</w:t>
      </w:r>
      <w:proofErr w:type="spellEnd"/>
      <w:r w:rsidRPr="000413D7">
        <w:t xml:space="preserve"> framework can already provide meaningful downside-risk benefits when compared with standard benchmark strategies.</w:t>
      </w:r>
    </w:p>
    <w:p w14:paraId="412FE9C9" w14:textId="426AF9AE" w:rsidR="000413D7" w:rsidRDefault="000413D7" w:rsidP="001C50E8">
      <w:pPr>
        <w:spacing w:before="80" w:after="60" w:line="259" w:lineRule="auto"/>
      </w:pPr>
      <w:r w:rsidRPr="000413D7">
        <w:t xml:space="preserve">In view of this problem, </w:t>
      </w:r>
      <w:r w:rsidR="00451160">
        <w:t>the present study examined</w:t>
      </w:r>
      <w:r w:rsidRPr="000413D7">
        <w:t xml:space="preserve"> whether portfolio construction based on </w:t>
      </w:r>
      <w:proofErr w:type="spellStart"/>
      <w:r w:rsidRPr="000413D7">
        <w:t>CVaR-minimisation</w:t>
      </w:r>
      <w:proofErr w:type="spellEnd"/>
      <w:r w:rsidRPr="000413D7">
        <w:t xml:space="preserve"> offers stronger downside-risk protection than Equal-Weight and Minimum-Variance strategies in a Malta-accessible UCITS ETF basket. The comparison </w:t>
      </w:r>
      <w:proofErr w:type="gramStart"/>
      <w:r w:rsidRPr="000413D7">
        <w:t>is conducted</w:t>
      </w:r>
      <w:proofErr w:type="gramEnd"/>
      <w:r w:rsidRPr="000413D7">
        <w:t xml:space="preserve"> under identical long-only and fully invested conditions using secondary historical ETF data and rolling out-of-sample </w:t>
      </w:r>
      <w:proofErr w:type="spellStart"/>
      <w:r w:rsidRPr="000413D7">
        <w:t>backtesting</w:t>
      </w:r>
      <w:proofErr w:type="spellEnd"/>
      <w:r w:rsidRPr="000413D7">
        <w:t xml:space="preserve">. This design allows the effect of the portfolio-construction rule to </w:t>
      </w:r>
      <w:proofErr w:type="gramStart"/>
      <w:r w:rsidRPr="000413D7">
        <w:t>be examined</w:t>
      </w:r>
      <w:proofErr w:type="gramEnd"/>
      <w:r w:rsidRPr="000413D7">
        <w:t xml:space="preserve"> more directly, while keeping the dataset, constraints, and testing framework consistent across all strategies [5], [6].</w:t>
      </w:r>
    </w:p>
    <w:p w14:paraId="10F4359B" w14:textId="6120EBD7" w:rsidR="000413D7" w:rsidRDefault="000413D7" w:rsidP="001C50E8">
      <w:pPr>
        <w:spacing w:before="80" w:after="60" w:line="259" w:lineRule="auto"/>
      </w:pPr>
      <w:r w:rsidRPr="000413D7">
        <w:t xml:space="preserve">The main hypothesis of this study states that, when applied to the same Malta-accessible UCITS ETF basket under identical rolling out-of-sample </w:t>
      </w:r>
      <w:proofErr w:type="spellStart"/>
      <w:r w:rsidRPr="000413D7">
        <w:t>backtesting</w:t>
      </w:r>
      <w:proofErr w:type="spellEnd"/>
      <w:r w:rsidRPr="000413D7">
        <w:t xml:space="preserve"> conditions, a </w:t>
      </w:r>
      <w:proofErr w:type="spellStart"/>
      <w:r w:rsidRPr="000413D7">
        <w:t>CVaR-minimised</w:t>
      </w:r>
      <w:proofErr w:type="spellEnd"/>
      <w:r w:rsidRPr="000413D7">
        <w:t xml:space="preserve"> portfolio will achieve lower </w:t>
      </w:r>
      <w:proofErr w:type="spellStart"/>
      <w:r w:rsidRPr="000413D7">
        <w:t>CVaR</w:t>
      </w:r>
      <w:proofErr w:type="spellEnd"/>
      <w:r w:rsidRPr="000413D7">
        <w:t xml:space="preserve"> and lower maximum drawdown than Equal-Weight and Minimum-Variance portfolios, without material deterioration in CAGR or Sharpe ratio. The corresponding null hypothesis states that no meaningful difference will exist among the three strategies in terms of </w:t>
      </w:r>
      <w:proofErr w:type="spellStart"/>
      <w:r w:rsidRPr="000413D7">
        <w:t>CVaR</w:t>
      </w:r>
      <w:proofErr w:type="spellEnd"/>
      <w:r w:rsidRPr="000413D7">
        <w:t>, maximum drawdown, or risk-adjusted performance. This hypothesis is testable through empirical investigation because the independent variable is the portfolio-construction rule, while the dependent variables are the observed portfolio outcomes measured through predefined financial metrics [1], [5].</w:t>
      </w:r>
    </w:p>
    <w:p w14:paraId="4A1C6C0C" w14:textId="54CD6E68" w:rsidR="00FE4C3E" w:rsidRPr="00E972B8" w:rsidRDefault="0040788F" w:rsidP="00FE4C3E">
      <w:pPr>
        <w:spacing w:before="80" w:after="60" w:line="259" w:lineRule="auto"/>
      </w:pPr>
      <w:proofErr w:type="gramStart"/>
      <w:r w:rsidRPr="0040788F">
        <w:t>In light of</w:t>
      </w:r>
      <w:proofErr w:type="gramEnd"/>
      <w:r w:rsidRPr="0040788F">
        <w:t xml:space="preserve"> the above, the aim of this research is to assess whether a simpler and more transparent </w:t>
      </w:r>
      <w:proofErr w:type="spellStart"/>
      <w:r w:rsidRPr="0040788F">
        <w:t>CVaR-minimisation</w:t>
      </w:r>
      <w:proofErr w:type="spellEnd"/>
      <w:r w:rsidRPr="0040788F">
        <w:t xml:space="preserve"> framework can provide stronger downside-risk protection than Equal-Weight and Minimum-Variance portfolio construction in a Malta-accessible UCITS ETF basket. More specifically, the study seeks to implement the three strategies under identical long-only and fully invested conditions and to </w:t>
      </w:r>
      <w:r w:rsidRPr="0040788F">
        <w:t xml:space="preserve">evaluate their out-of-sample performance over the 2016–2025 period. The expected outcome is a clear empirical comparison showing whether </w:t>
      </w:r>
      <w:proofErr w:type="spellStart"/>
      <w:r w:rsidRPr="0040788F">
        <w:t>CVaR-minimisation</w:t>
      </w:r>
      <w:proofErr w:type="spellEnd"/>
      <w:r w:rsidRPr="0040788F">
        <w:t xml:space="preserve"> improves downside-risk measures such as </w:t>
      </w:r>
      <w:proofErr w:type="spellStart"/>
      <w:r w:rsidRPr="0040788F">
        <w:t>CVaR</w:t>
      </w:r>
      <w:proofErr w:type="spellEnd"/>
      <w:r w:rsidRPr="0040788F">
        <w:t xml:space="preserve"> and maximum drawdown, while preserving broadly competitive return and risk-adjusted performance.</w:t>
      </w:r>
      <w:r w:rsidR="00FE4C3E">
        <w:t xml:space="preserve"> </w:t>
      </w:r>
      <w:r w:rsidR="00F02AFD" w:rsidRPr="00F02AFD">
        <w:t>The research objectives were as follows</w:t>
      </w:r>
      <w:r w:rsidR="00964C19">
        <w:t>.</w:t>
      </w:r>
    </w:p>
    <w:p w14:paraId="3F69F60E" w14:textId="77777777" w:rsidR="00FE4C3E" w:rsidRPr="00FE4C3E" w:rsidRDefault="00FE4C3E" w:rsidP="008830B0">
      <w:pPr>
        <w:numPr>
          <w:ilvl w:val="0"/>
          <w:numId w:val="11"/>
        </w:numPr>
        <w:spacing w:before="80" w:after="60" w:line="259" w:lineRule="auto"/>
        <w:rPr>
          <w:lang w:val="en-GB"/>
        </w:rPr>
      </w:pPr>
      <w:r w:rsidRPr="00FE4C3E">
        <w:rPr>
          <w:lang w:val="en-GB"/>
        </w:rPr>
        <w:t xml:space="preserve">Construct a consistent historical dataset for the selected Malta-accessible UCITS ETF basket and prepare it for portfolio </w:t>
      </w:r>
      <w:proofErr w:type="spellStart"/>
      <w:r w:rsidRPr="00FE4C3E">
        <w:rPr>
          <w:lang w:val="en-GB"/>
        </w:rPr>
        <w:t>backtesting</w:t>
      </w:r>
      <w:proofErr w:type="spellEnd"/>
      <w:r w:rsidRPr="00FE4C3E">
        <w:rPr>
          <w:lang w:val="en-GB"/>
        </w:rPr>
        <w:t xml:space="preserve">. </w:t>
      </w:r>
    </w:p>
    <w:p w14:paraId="5F114DED" w14:textId="77777777" w:rsidR="00FE4C3E" w:rsidRPr="00FE4C3E" w:rsidRDefault="00FE4C3E" w:rsidP="008830B0">
      <w:pPr>
        <w:numPr>
          <w:ilvl w:val="0"/>
          <w:numId w:val="11"/>
        </w:numPr>
        <w:spacing w:before="80" w:after="60" w:line="259" w:lineRule="auto"/>
        <w:rPr>
          <w:lang w:val="en-GB"/>
        </w:rPr>
      </w:pPr>
      <w:r w:rsidRPr="00FE4C3E">
        <w:rPr>
          <w:lang w:val="en-GB"/>
        </w:rPr>
        <w:t xml:space="preserve">Implement Equal-Weight, Minimum-Variance, and </w:t>
      </w:r>
      <w:proofErr w:type="spellStart"/>
      <w:r w:rsidRPr="00FE4C3E">
        <w:rPr>
          <w:lang w:val="en-GB"/>
        </w:rPr>
        <w:t>CVaR</w:t>
      </w:r>
      <w:proofErr w:type="spellEnd"/>
      <w:r w:rsidRPr="00FE4C3E">
        <w:rPr>
          <w:lang w:val="en-GB"/>
        </w:rPr>
        <w:t xml:space="preserve">-minimisation portfolio-construction rules under identical investment constraints. </w:t>
      </w:r>
    </w:p>
    <w:p w14:paraId="35E76AF2" w14:textId="77777777" w:rsidR="00FE4C3E" w:rsidRPr="00FE4C3E" w:rsidRDefault="00FE4C3E" w:rsidP="008830B0">
      <w:pPr>
        <w:numPr>
          <w:ilvl w:val="0"/>
          <w:numId w:val="11"/>
        </w:numPr>
        <w:spacing w:before="80" w:after="60" w:line="259" w:lineRule="auto"/>
        <w:rPr>
          <w:lang w:val="en-GB"/>
        </w:rPr>
      </w:pPr>
      <w:r w:rsidRPr="00FE4C3E">
        <w:rPr>
          <w:lang w:val="en-GB"/>
        </w:rPr>
        <w:t xml:space="preserve">Conduct rolling out-of-sample </w:t>
      </w:r>
      <w:proofErr w:type="spellStart"/>
      <w:r w:rsidRPr="00FE4C3E">
        <w:rPr>
          <w:lang w:val="en-GB"/>
        </w:rPr>
        <w:t>backtesting</w:t>
      </w:r>
      <w:proofErr w:type="spellEnd"/>
      <w:r w:rsidRPr="00FE4C3E">
        <w:rPr>
          <w:lang w:val="en-GB"/>
        </w:rPr>
        <w:t xml:space="preserve"> to evaluate how the three strategies perform across different market conditions over 2016–2025. </w:t>
      </w:r>
    </w:p>
    <w:p w14:paraId="09FE8455" w14:textId="77777777" w:rsidR="00FE4C3E" w:rsidRPr="00FE4C3E" w:rsidRDefault="00FE4C3E" w:rsidP="008830B0">
      <w:pPr>
        <w:numPr>
          <w:ilvl w:val="0"/>
          <w:numId w:val="11"/>
        </w:numPr>
        <w:spacing w:before="80" w:after="60" w:line="259" w:lineRule="auto"/>
        <w:rPr>
          <w:lang w:val="en-GB"/>
        </w:rPr>
      </w:pPr>
      <w:r w:rsidRPr="00FE4C3E">
        <w:rPr>
          <w:lang w:val="en-GB"/>
        </w:rPr>
        <w:t xml:space="preserve">Compare the strategies using return, volatility, risk-adjusted, and downside-risk measures, namely CAGR, volatility, Sharpe ratio, </w:t>
      </w:r>
      <w:proofErr w:type="spellStart"/>
      <w:r w:rsidRPr="00FE4C3E">
        <w:rPr>
          <w:lang w:val="en-GB"/>
        </w:rPr>
        <w:t>Sortino</w:t>
      </w:r>
      <w:proofErr w:type="spellEnd"/>
      <w:r w:rsidRPr="00FE4C3E">
        <w:rPr>
          <w:lang w:val="en-GB"/>
        </w:rPr>
        <w:t xml:space="preserve"> ratio, </w:t>
      </w:r>
      <w:proofErr w:type="spellStart"/>
      <w:r w:rsidRPr="00FE4C3E">
        <w:rPr>
          <w:lang w:val="en-GB"/>
        </w:rPr>
        <w:t>VaR</w:t>
      </w:r>
      <w:proofErr w:type="spellEnd"/>
      <w:r w:rsidRPr="00FE4C3E">
        <w:rPr>
          <w:lang w:val="en-GB"/>
        </w:rPr>
        <w:t xml:space="preserve">, </w:t>
      </w:r>
      <w:proofErr w:type="spellStart"/>
      <w:r w:rsidRPr="00FE4C3E">
        <w:rPr>
          <w:lang w:val="en-GB"/>
        </w:rPr>
        <w:t>CVaR</w:t>
      </w:r>
      <w:proofErr w:type="spellEnd"/>
      <w:r w:rsidRPr="00FE4C3E">
        <w:rPr>
          <w:lang w:val="en-GB"/>
        </w:rPr>
        <w:t xml:space="preserve">, and maximum drawdown. </w:t>
      </w:r>
    </w:p>
    <w:p w14:paraId="0427701F" w14:textId="77777777" w:rsidR="00FE4C3E" w:rsidRPr="00FE4C3E" w:rsidRDefault="00FE4C3E" w:rsidP="008830B0">
      <w:pPr>
        <w:numPr>
          <w:ilvl w:val="0"/>
          <w:numId w:val="11"/>
        </w:numPr>
        <w:spacing w:before="80" w:after="60" w:line="259" w:lineRule="auto"/>
        <w:rPr>
          <w:lang w:val="en-GB"/>
        </w:rPr>
      </w:pPr>
      <w:r w:rsidRPr="00FE4C3E">
        <w:rPr>
          <w:lang w:val="en-GB"/>
        </w:rPr>
        <w:t xml:space="preserve">Assess whether </w:t>
      </w:r>
      <w:proofErr w:type="spellStart"/>
      <w:r w:rsidRPr="00FE4C3E">
        <w:rPr>
          <w:lang w:val="en-GB"/>
        </w:rPr>
        <w:t>CVaR</w:t>
      </w:r>
      <w:proofErr w:type="spellEnd"/>
      <w:r w:rsidRPr="00FE4C3E">
        <w:rPr>
          <w:lang w:val="en-GB"/>
        </w:rPr>
        <w:t>-minimisation provides materially stronger downside-risk control than the benchmark strategies without significant deterioration in return-based performance.</w:t>
      </w:r>
    </w:p>
    <w:p w14:paraId="2CB68C88" w14:textId="62FF0ABF" w:rsidR="0040788F" w:rsidRPr="002E3173" w:rsidRDefault="000467B6" w:rsidP="002E3173">
      <w:pPr>
        <w:spacing w:before="80" w:after="60" w:line="259" w:lineRule="auto"/>
        <w:rPr>
          <w:lang w:val="en-GB"/>
        </w:rPr>
      </w:pPr>
      <w:r w:rsidRPr="000467B6">
        <w:t xml:space="preserve">The research questions addressed in this study are </w:t>
      </w:r>
      <w:proofErr w:type="spellStart"/>
      <w:r w:rsidRPr="000467B6">
        <w:t>organised</w:t>
      </w:r>
      <w:proofErr w:type="spellEnd"/>
      <w:r w:rsidRPr="000467B6">
        <w:t xml:space="preserve"> around the data, portfolio-construction process, and evaluation stages </w:t>
      </w:r>
      <w:r w:rsidR="00A34845" w:rsidRPr="00A34845">
        <w:t xml:space="preserve">identified in </w:t>
      </w:r>
      <w:r w:rsidR="00A34845" w:rsidRPr="00A34845">
        <w:rPr>
          <w:b/>
          <w:bCs/>
        </w:rPr>
        <w:t>Section II</w:t>
      </w:r>
      <w:r w:rsidRPr="000467B6">
        <w:t xml:space="preserve">. Since the present research does not propose a new complex </w:t>
      </w:r>
      <w:proofErr w:type="spellStart"/>
      <w:r w:rsidRPr="000467B6">
        <w:t>optimisation</w:t>
      </w:r>
      <w:proofErr w:type="spellEnd"/>
      <w:r w:rsidRPr="000467B6">
        <w:t xml:space="preserve"> engine, the questions </w:t>
      </w:r>
      <w:proofErr w:type="gramStart"/>
      <w:r w:rsidRPr="000467B6">
        <w:t>are designed</w:t>
      </w:r>
      <w:proofErr w:type="gramEnd"/>
      <w:r w:rsidRPr="000467B6">
        <w:t xml:space="preserve"> to examine whether a transparent benchmark comparison based on secondary ETF data can produce meaningful evidence on downside-risk control.</w:t>
      </w:r>
      <w:r w:rsidR="002E3173">
        <w:t xml:space="preserve"> </w:t>
      </w:r>
      <w:r w:rsidR="002E3173" w:rsidRPr="002E3173">
        <w:rPr>
          <w:lang w:val="en-GB"/>
        </w:rPr>
        <w:t>The research questions are as follows</w:t>
      </w:r>
      <w:r w:rsidR="002E3173">
        <w:rPr>
          <w:lang w:val="en-GB"/>
        </w:rPr>
        <w:t>.</w:t>
      </w:r>
    </w:p>
    <w:p w14:paraId="574468D3" w14:textId="18CCF5B3" w:rsidR="002E3173" w:rsidRPr="002E3173" w:rsidRDefault="00CE2376" w:rsidP="008830B0">
      <w:pPr>
        <w:numPr>
          <w:ilvl w:val="0"/>
          <w:numId w:val="15"/>
        </w:numPr>
        <w:spacing w:before="80" w:after="60" w:line="259" w:lineRule="auto"/>
        <w:rPr>
          <w:lang w:val="en-GB"/>
        </w:rPr>
      </w:pPr>
      <w:r w:rsidRPr="00CE2376">
        <w:rPr>
          <w:b/>
          <w:bCs/>
          <w:lang w:val="en-GB"/>
        </w:rPr>
        <w:t>RQ 1: (Historical dataset)</w:t>
      </w:r>
      <w:r>
        <w:rPr>
          <w:lang w:val="en-GB"/>
        </w:rPr>
        <w:t xml:space="preserve"> </w:t>
      </w:r>
      <w:r w:rsidR="00E532AA">
        <w:rPr>
          <w:lang w:val="en-GB"/>
        </w:rPr>
        <w:t xml:space="preserve">- </w:t>
      </w:r>
      <w:r w:rsidR="002E3173" w:rsidRPr="002E3173">
        <w:rPr>
          <w:lang w:val="en-GB"/>
        </w:rPr>
        <w:t xml:space="preserve">What historical ETF dataset and investable UCITS ETF basket are most suitable for a controlled comparison of Equal-Weight, Minimum-Variance, and </w:t>
      </w:r>
      <w:proofErr w:type="spellStart"/>
      <w:r w:rsidR="002E3173" w:rsidRPr="002E3173">
        <w:rPr>
          <w:lang w:val="en-GB"/>
        </w:rPr>
        <w:t>CVaR</w:t>
      </w:r>
      <w:proofErr w:type="spellEnd"/>
      <w:r w:rsidR="002E3173" w:rsidRPr="002E3173">
        <w:rPr>
          <w:lang w:val="en-GB"/>
        </w:rPr>
        <w:t xml:space="preserve">-minimisation strategies in a Malta-accessible setting? </w:t>
      </w:r>
    </w:p>
    <w:p w14:paraId="76765BFD" w14:textId="7B18F698" w:rsidR="002E3173" w:rsidRPr="002E3173" w:rsidRDefault="00CE2376" w:rsidP="008830B0">
      <w:pPr>
        <w:numPr>
          <w:ilvl w:val="0"/>
          <w:numId w:val="15"/>
        </w:numPr>
        <w:spacing w:before="80" w:after="60" w:line="259" w:lineRule="auto"/>
        <w:rPr>
          <w:lang w:val="en-GB"/>
        </w:rPr>
      </w:pPr>
      <w:r w:rsidRPr="00CE2376">
        <w:rPr>
          <w:b/>
          <w:bCs/>
          <w:lang w:val="en-GB"/>
        </w:rPr>
        <w:t>RQ 2: (</w:t>
      </w:r>
      <w:r w:rsidR="00D8204C" w:rsidRPr="00D8204C">
        <w:rPr>
          <w:b/>
          <w:bCs/>
        </w:rPr>
        <w:t>process / candidate techniques</w:t>
      </w:r>
      <w:r w:rsidR="00D8204C">
        <w:rPr>
          <w:b/>
          <w:bCs/>
        </w:rPr>
        <w:t xml:space="preserve">) - </w:t>
      </w:r>
      <w:r w:rsidR="002E3173" w:rsidRPr="002E3173">
        <w:rPr>
          <w:lang w:val="en-GB"/>
        </w:rPr>
        <w:t>Under identical long-only and fully invested</w:t>
      </w:r>
      <w:r w:rsidR="002E3173" w:rsidRPr="002E3173">
        <w:rPr>
          <w:b/>
          <w:bCs/>
          <w:lang w:val="en-GB"/>
        </w:rPr>
        <w:t xml:space="preserve"> </w:t>
      </w:r>
      <w:r w:rsidR="002E3173" w:rsidRPr="002E3173">
        <w:rPr>
          <w:lang w:val="en-GB"/>
        </w:rPr>
        <w:t>constraints</w:t>
      </w:r>
      <w:r w:rsidR="00D8204C">
        <w:rPr>
          <w:b/>
          <w:bCs/>
          <w:lang w:val="en-GB"/>
        </w:rPr>
        <w:t xml:space="preserve">, </w:t>
      </w:r>
      <w:r w:rsidR="002E3173" w:rsidRPr="002E3173">
        <w:rPr>
          <w:lang w:val="en-GB"/>
        </w:rPr>
        <w:t xml:space="preserve">how does </w:t>
      </w:r>
      <w:proofErr w:type="spellStart"/>
      <w:r w:rsidR="002E3173" w:rsidRPr="002E3173">
        <w:rPr>
          <w:lang w:val="en-GB"/>
        </w:rPr>
        <w:t>CVaR</w:t>
      </w:r>
      <w:proofErr w:type="spellEnd"/>
      <w:r w:rsidR="002E3173" w:rsidRPr="002E3173">
        <w:rPr>
          <w:lang w:val="en-GB"/>
        </w:rPr>
        <w:t xml:space="preserve">-minimisation compare with Equal-Weight and Minimum-Variance as a portfolio-construction approach? </w:t>
      </w:r>
    </w:p>
    <w:p w14:paraId="00D28FD7" w14:textId="20EDE0E3" w:rsidR="004766B4" w:rsidRPr="004766B4" w:rsidRDefault="00CE2376" w:rsidP="004766B4">
      <w:pPr>
        <w:numPr>
          <w:ilvl w:val="0"/>
          <w:numId w:val="15"/>
        </w:numPr>
        <w:spacing w:before="80" w:after="60" w:line="259" w:lineRule="auto"/>
        <w:rPr>
          <w:lang w:val="en-GB"/>
        </w:rPr>
      </w:pPr>
      <w:r w:rsidRPr="008830B0">
        <w:rPr>
          <w:b/>
          <w:bCs/>
          <w:lang w:val="en-GB"/>
        </w:rPr>
        <w:t>RQ 3: (</w:t>
      </w:r>
      <w:r w:rsidR="00D8204C" w:rsidRPr="00D8204C">
        <w:rPr>
          <w:b/>
          <w:bCs/>
        </w:rPr>
        <w:t>evaluation and testing</w:t>
      </w:r>
      <w:r w:rsidR="008830B0" w:rsidRPr="008830B0">
        <w:rPr>
          <w:b/>
          <w:bCs/>
          <w:lang w:val="en-GB"/>
        </w:rPr>
        <w:t>)</w:t>
      </w:r>
      <w:r w:rsidR="008830B0">
        <w:rPr>
          <w:lang w:val="en-GB"/>
        </w:rPr>
        <w:t xml:space="preserve"> - </w:t>
      </w:r>
      <w:r w:rsidR="002E3173" w:rsidRPr="002E3173">
        <w:rPr>
          <w:lang w:val="en-GB"/>
        </w:rPr>
        <w:t xml:space="preserve">How does the proposed </w:t>
      </w:r>
      <w:proofErr w:type="spellStart"/>
      <w:r w:rsidR="002E3173" w:rsidRPr="002E3173">
        <w:rPr>
          <w:lang w:val="en-GB"/>
        </w:rPr>
        <w:t>CVaR</w:t>
      </w:r>
      <w:proofErr w:type="spellEnd"/>
      <w:r w:rsidR="002E3173" w:rsidRPr="002E3173">
        <w:rPr>
          <w:lang w:val="en-GB"/>
        </w:rPr>
        <w:t xml:space="preserve">-minimisation strategy compare with the benchmark strategies in rolling out-of-sample </w:t>
      </w:r>
      <w:proofErr w:type="spellStart"/>
      <w:r w:rsidR="002E3173" w:rsidRPr="002E3173">
        <w:rPr>
          <w:lang w:val="en-GB"/>
        </w:rPr>
        <w:t>backtesting</w:t>
      </w:r>
      <w:proofErr w:type="spellEnd"/>
      <w:r w:rsidR="002E3173" w:rsidRPr="002E3173">
        <w:rPr>
          <w:lang w:val="en-GB"/>
        </w:rPr>
        <w:t xml:space="preserve"> when evaluated using CAGR, volatility, Sharpe ratio, </w:t>
      </w:r>
      <w:proofErr w:type="spellStart"/>
      <w:r w:rsidR="002E3173" w:rsidRPr="002E3173">
        <w:rPr>
          <w:lang w:val="en-GB"/>
        </w:rPr>
        <w:t>Sortino</w:t>
      </w:r>
      <w:proofErr w:type="spellEnd"/>
      <w:r w:rsidR="002E3173" w:rsidRPr="002E3173">
        <w:rPr>
          <w:lang w:val="en-GB"/>
        </w:rPr>
        <w:t xml:space="preserve"> ratio, </w:t>
      </w:r>
      <w:proofErr w:type="spellStart"/>
      <w:r w:rsidR="002E3173" w:rsidRPr="002E3173">
        <w:rPr>
          <w:lang w:val="en-GB"/>
        </w:rPr>
        <w:t>VaR</w:t>
      </w:r>
      <w:proofErr w:type="spellEnd"/>
      <w:r w:rsidR="002E3173" w:rsidRPr="002E3173">
        <w:rPr>
          <w:lang w:val="en-GB"/>
        </w:rPr>
        <w:t xml:space="preserve">, </w:t>
      </w:r>
      <w:proofErr w:type="spellStart"/>
      <w:r w:rsidR="002E3173" w:rsidRPr="002E3173">
        <w:rPr>
          <w:lang w:val="en-GB"/>
        </w:rPr>
        <w:t>CVaR</w:t>
      </w:r>
      <w:proofErr w:type="spellEnd"/>
      <w:r w:rsidR="002E3173" w:rsidRPr="002E3173">
        <w:rPr>
          <w:lang w:val="en-GB"/>
        </w:rPr>
        <w:t xml:space="preserve">, and maximum drawdown? </w:t>
      </w:r>
    </w:p>
    <w:p w14:paraId="3031E972" w14:textId="05D58964" w:rsidR="004766B4" w:rsidRPr="004766B4" w:rsidRDefault="004766B4" w:rsidP="004766B4">
      <w:pPr>
        <w:pStyle w:val="ListParagraph"/>
        <w:numPr>
          <w:ilvl w:val="0"/>
          <w:numId w:val="16"/>
        </w:numPr>
        <w:spacing w:before="80" w:after="60" w:line="259" w:lineRule="auto"/>
        <w:rPr>
          <w:b/>
          <w:bCs/>
        </w:rPr>
      </w:pPr>
      <w:r w:rsidRPr="004766B4">
        <w:rPr>
          <w:b/>
          <w:bCs/>
        </w:rPr>
        <w:t>Research Pipeline</w:t>
      </w:r>
    </w:p>
    <w:p w14:paraId="6FE0DCD4" w14:textId="13293150" w:rsidR="00F34739" w:rsidRPr="00295179" w:rsidRDefault="003200BC" w:rsidP="001C50E8">
      <w:pPr>
        <w:spacing w:before="80" w:after="60" w:line="259" w:lineRule="auto"/>
      </w:pPr>
      <w:r w:rsidRPr="003200BC">
        <w:t xml:space="preserve">To answer the above research questions, the study </w:t>
      </w:r>
      <w:proofErr w:type="gramStart"/>
      <w:r w:rsidRPr="003200BC">
        <w:t>was structured</w:t>
      </w:r>
      <w:proofErr w:type="gramEnd"/>
      <w:r w:rsidRPr="003200BC">
        <w:t xml:space="preserve"> around the research pipeline illustrated in </w:t>
      </w:r>
      <w:r w:rsidRPr="003200BC">
        <w:lastRenderedPageBreak/>
        <w:t xml:space="preserve">Fig. 3. </w:t>
      </w:r>
      <w:r w:rsidR="00F34739" w:rsidRPr="00F34739">
        <w:rPr>
          <w:lang w:val="en-GB"/>
        </w:rPr>
        <w:t xml:space="preserve">The first stage consisted of defining the six-ETF UCITS basket and collecting the historical adjusted closing prices required for the </w:t>
      </w:r>
      <w:proofErr w:type="spellStart"/>
      <w:r w:rsidR="00F34739" w:rsidRPr="00F34739">
        <w:rPr>
          <w:lang w:val="en-GB"/>
        </w:rPr>
        <w:t>backtest</w:t>
      </w:r>
      <w:proofErr w:type="spellEnd"/>
      <w:r w:rsidR="00F34739" w:rsidRPr="00F34739">
        <w:rPr>
          <w:lang w:val="en-GB"/>
        </w:rPr>
        <w:t xml:space="preserve">. The second stage involved aligning prices across common trading dates, checking completeness, handling missing observations, and deriving periodic returns from the cleaned series. The third stage consisted of constructing Equal-Weight, Minimum-Variance, and </w:t>
      </w:r>
      <w:proofErr w:type="spellStart"/>
      <w:r w:rsidR="00F34739" w:rsidRPr="00F34739">
        <w:rPr>
          <w:lang w:val="en-GB"/>
        </w:rPr>
        <w:t>CVaR</w:t>
      </w:r>
      <w:proofErr w:type="spellEnd"/>
      <w:r w:rsidR="00F34739" w:rsidRPr="00F34739">
        <w:rPr>
          <w:lang w:val="en-GB"/>
        </w:rPr>
        <w:t xml:space="preserve">-minimisation portfolios under identical long-only and fully invested constraints. The fourth stage involved rolling out-of-sample </w:t>
      </w:r>
      <w:proofErr w:type="spellStart"/>
      <w:r w:rsidR="00F34739" w:rsidRPr="00F34739">
        <w:rPr>
          <w:lang w:val="en-GB"/>
        </w:rPr>
        <w:t>backtesting</w:t>
      </w:r>
      <w:proofErr w:type="spellEnd"/>
      <w:r w:rsidR="00F34739" w:rsidRPr="00F34739">
        <w:rPr>
          <w:lang w:val="en-GB"/>
        </w:rPr>
        <w:t xml:space="preserve">, where portfolio weights were estimated from the preceding in-sample window and then applied to the subsequent out-of-sample period until the end of 2025. The final stage consisted of evaluating realised portfolio outcomes using CAGR, annualised volatility, Sharpe ratio, </w:t>
      </w:r>
      <w:proofErr w:type="spellStart"/>
      <w:r w:rsidR="00F34739" w:rsidRPr="00F34739">
        <w:rPr>
          <w:lang w:val="en-GB"/>
        </w:rPr>
        <w:t>Sortino</w:t>
      </w:r>
      <w:proofErr w:type="spellEnd"/>
      <w:r w:rsidR="00F34739" w:rsidRPr="00F34739">
        <w:rPr>
          <w:lang w:val="en-GB"/>
        </w:rPr>
        <w:t xml:space="preserve"> ratio, </w:t>
      </w:r>
      <w:proofErr w:type="spellStart"/>
      <w:r w:rsidR="00F34739" w:rsidRPr="00F34739">
        <w:rPr>
          <w:lang w:val="en-GB"/>
        </w:rPr>
        <w:t>VaR</w:t>
      </w:r>
      <w:proofErr w:type="spellEnd"/>
      <w:r w:rsidR="00F34739" w:rsidRPr="00F34739">
        <w:rPr>
          <w:lang w:val="en-GB"/>
        </w:rPr>
        <w:t xml:space="preserve">, </w:t>
      </w:r>
      <w:proofErr w:type="spellStart"/>
      <w:r w:rsidR="00F34739" w:rsidRPr="00F34739">
        <w:rPr>
          <w:lang w:val="en-GB"/>
        </w:rPr>
        <w:t>CVaR</w:t>
      </w:r>
      <w:proofErr w:type="spellEnd"/>
      <w:r w:rsidR="00F34739" w:rsidRPr="00F34739">
        <w:rPr>
          <w:lang w:val="en-GB"/>
        </w:rPr>
        <w:t xml:space="preserve">, and maximum drawdown, and comparing the </w:t>
      </w:r>
      <w:proofErr w:type="spellStart"/>
      <w:r w:rsidR="00F34739" w:rsidRPr="00F34739">
        <w:rPr>
          <w:lang w:val="en-GB"/>
        </w:rPr>
        <w:t>CVaR</w:t>
      </w:r>
      <w:proofErr w:type="spellEnd"/>
      <w:r w:rsidR="00F34739" w:rsidRPr="00F34739">
        <w:rPr>
          <w:lang w:val="en-GB"/>
        </w:rPr>
        <w:t xml:space="preserve"> strategy against the benchmark portfolios.</w:t>
      </w:r>
    </w:p>
    <w:p w14:paraId="40B99DD0" w14:textId="0112D05E" w:rsidR="009300AE" w:rsidRPr="00F34739" w:rsidRDefault="009300AE" w:rsidP="001C50E8">
      <w:pPr>
        <w:spacing w:before="80" w:after="60" w:line="259" w:lineRule="auto"/>
      </w:pPr>
      <w:r>
        <w:rPr>
          <w:noProof/>
        </w:rPr>
        <w:drawing>
          <wp:inline distT="0" distB="0" distL="0" distR="0" wp14:anchorId="49D0690F" wp14:editId="78FF719B">
            <wp:extent cx="2961005" cy="39008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2961005" cy="3900805"/>
                    </a:xfrm>
                    <a:prstGeom prst="rect">
                      <a:avLst/>
                    </a:prstGeom>
                  </pic:spPr>
                </pic:pic>
              </a:graphicData>
            </a:graphic>
          </wp:inline>
        </w:drawing>
      </w:r>
    </w:p>
    <w:p w14:paraId="2E55815C" w14:textId="77777777" w:rsidR="00295179" w:rsidRDefault="00295179" w:rsidP="00295179">
      <w:pPr>
        <w:spacing w:before="80" w:after="60" w:line="259" w:lineRule="auto"/>
        <w:rPr>
          <w:i/>
          <w:iCs/>
          <w:sz w:val="16"/>
          <w:szCs w:val="16"/>
        </w:rPr>
      </w:pPr>
      <w:r w:rsidRPr="00AF4329">
        <w:t xml:space="preserve">Fig. 3. </w:t>
      </w:r>
      <w:r w:rsidRPr="00AF4329">
        <w:rPr>
          <w:i/>
          <w:iCs/>
          <w:sz w:val="16"/>
          <w:szCs w:val="16"/>
        </w:rPr>
        <w:t>Research</w:t>
      </w:r>
      <w:r w:rsidRPr="004766B4">
        <w:rPr>
          <w:i/>
          <w:iCs/>
          <w:sz w:val="16"/>
          <w:szCs w:val="16"/>
        </w:rPr>
        <w:t xml:space="preserve"> pipeline for </w:t>
      </w:r>
      <w:proofErr w:type="spellStart"/>
      <w:r w:rsidRPr="004766B4">
        <w:rPr>
          <w:i/>
          <w:iCs/>
          <w:sz w:val="16"/>
          <w:szCs w:val="16"/>
        </w:rPr>
        <w:t>CVaR</w:t>
      </w:r>
      <w:proofErr w:type="spellEnd"/>
      <w:r w:rsidRPr="004766B4">
        <w:rPr>
          <w:i/>
          <w:iCs/>
          <w:sz w:val="16"/>
          <w:szCs w:val="16"/>
        </w:rPr>
        <w:t xml:space="preserve">-based portfolio </w:t>
      </w:r>
      <w:proofErr w:type="spellStart"/>
      <w:r w:rsidRPr="004766B4">
        <w:rPr>
          <w:i/>
          <w:iCs/>
          <w:sz w:val="16"/>
          <w:szCs w:val="16"/>
        </w:rPr>
        <w:t>optimisation</w:t>
      </w:r>
      <w:proofErr w:type="spellEnd"/>
      <w:r w:rsidRPr="004766B4">
        <w:rPr>
          <w:i/>
          <w:iCs/>
          <w:sz w:val="16"/>
          <w:szCs w:val="16"/>
        </w:rPr>
        <w:t xml:space="preserve"> in a Malta-accessible UCITS ETF basket.</w:t>
      </w:r>
    </w:p>
    <w:p w14:paraId="33A90FBB" w14:textId="77777777" w:rsidR="00F34739" w:rsidRDefault="00F34739" w:rsidP="001C50E8">
      <w:pPr>
        <w:spacing w:before="80" w:after="60" w:line="259" w:lineRule="auto"/>
      </w:pPr>
    </w:p>
    <w:p w14:paraId="28A018A7" w14:textId="77777777" w:rsidR="00295179" w:rsidRDefault="00295179" w:rsidP="001C50E8">
      <w:pPr>
        <w:spacing w:before="80" w:after="60" w:line="259" w:lineRule="auto"/>
      </w:pPr>
    </w:p>
    <w:p w14:paraId="2F2D7935" w14:textId="397A4769" w:rsidR="00F21C9C" w:rsidRDefault="00AF4329" w:rsidP="00AF4329">
      <w:pPr>
        <w:pStyle w:val="ListParagraph"/>
        <w:numPr>
          <w:ilvl w:val="0"/>
          <w:numId w:val="16"/>
        </w:numPr>
        <w:spacing w:before="80" w:after="60" w:line="259" w:lineRule="auto"/>
        <w:rPr>
          <w:b/>
          <w:bCs/>
        </w:rPr>
      </w:pPr>
      <w:r w:rsidRPr="00AF4329">
        <w:rPr>
          <w:b/>
          <w:bCs/>
        </w:rPr>
        <w:t>Research Approach and Experimental Variables</w:t>
      </w:r>
    </w:p>
    <w:p w14:paraId="095E79F3" w14:textId="46FA3FF6" w:rsidR="00396A02" w:rsidRPr="00396A02" w:rsidRDefault="00396A02" w:rsidP="00396A02">
      <w:pPr>
        <w:spacing w:before="80" w:after="60" w:line="259" w:lineRule="auto"/>
      </w:pPr>
      <w:r w:rsidRPr="00396A02">
        <w:t>EXPERIMENTAL VARIABLES IN THE PRESENT STUDY</w:t>
      </w:r>
    </w:p>
    <w:tbl>
      <w:tblPr>
        <w:tblStyle w:val="TableGrid"/>
        <w:tblW w:w="0" w:type="auto"/>
        <w:tblLook w:val="04A0" w:firstRow="1" w:lastRow="0" w:firstColumn="1" w:lastColumn="0" w:noHBand="0" w:noVBand="1"/>
      </w:tblPr>
      <w:tblGrid>
        <w:gridCol w:w="1295"/>
        <w:gridCol w:w="1343"/>
        <w:gridCol w:w="2241"/>
      </w:tblGrid>
      <w:tr w:rsidR="002E4C0F" w:rsidRPr="002E4C0F" w14:paraId="4A01EBCE" w14:textId="77777777" w:rsidTr="002E4C0F">
        <w:tc>
          <w:tcPr>
            <w:tcW w:w="0" w:type="auto"/>
            <w:hideMark/>
          </w:tcPr>
          <w:p w14:paraId="526FDA30" w14:textId="77777777" w:rsidR="002E4C0F" w:rsidRPr="002E4C0F" w:rsidRDefault="002E4C0F" w:rsidP="002E4C0F">
            <w:pPr>
              <w:spacing w:before="80" w:after="60" w:line="259" w:lineRule="auto"/>
              <w:rPr>
                <w:b/>
                <w:bCs/>
                <w:lang w:val="en-GB"/>
              </w:rPr>
            </w:pPr>
            <w:r w:rsidRPr="002E4C0F">
              <w:rPr>
                <w:b/>
                <w:bCs/>
                <w:lang w:val="en-GB"/>
              </w:rPr>
              <w:t>Variable type</w:t>
            </w:r>
          </w:p>
        </w:tc>
        <w:tc>
          <w:tcPr>
            <w:tcW w:w="0" w:type="auto"/>
            <w:hideMark/>
          </w:tcPr>
          <w:p w14:paraId="281257E1" w14:textId="77777777" w:rsidR="002E4C0F" w:rsidRPr="002E4C0F" w:rsidRDefault="002E4C0F" w:rsidP="002E4C0F">
            <w:pPr>
              <w:spacing w:before="80" w:after="60" w:line="259" w:lineRule="auto"/>
              <w:rPr>
                <w:b/>
                <w:bCs/>
                <w:lang w:val="en-GB"/>
              </w:rPr>
            </w:pPr>
            <w:r w:rsidRPr="002E4C0F">
              <w:rPr>
                <w:b/>
                <w:bCs/>
                <w:lang w:val="en-GB"/>
              </w:rPr>
              <w:t>Variable</w:t>
            </w:r>
          </w:p>
        </w:tc>
        <w:tc>
          <w:tcPr>
            <w:tcW w:w="0" w:type="auto"/>
            <w:hideMark/>
          </w:tcPr>
          <w:p w14:paraId="62C2108D" w14:textId="77777777" w:rsidR="002E4C0F" w:rsidRPr="002E4C0F" w:rsidRDefault="002E4C0F" w:rsidP="002E4C0F">
            <w:pPr>
              <w:spacing w:before="80" w:after="60" w:line="259" w:lineRule="auto"/>
              <w:rPr>
                <w:b/>
                <w:bCs/>
                <w:lang w:val="en-GB"/>
              </w:rPr>
            </w:pPr>
            <w:r w:rsidRPr="002E4C0F">
              <w:rPr>
                <w:b/>
                <w:bCs/>
                <w:lang w:val="en-GB"/>
              </w:rPr>
              <w:t>Operationalisation</w:t>
            </w:r>
          </w:p>
        </w:tc>
      </w:tr>
      <w:tr w:rsidR="002E4C0F" w:rsidRPr="002E4C0F" w14:paraId="7F0E2B02" w14:textId="77777777" w:rsidTr="002E4C0F">
        <w:tc>
          <w:tcPr>
            <w:tcW w:w="0" w:type="auto"/>
            <w:hideMark/>
          </w:tcPr>
          <w:p w14:paraId="46C01DF8" w14:textId="77777777" w:rsidR="002E4C0F" w:rsidRPr="002E4C0F" w:rsidRDefault="002E4C0F" w:rsidP="002E4C0F">
            <w:pPr>
              <w:spacing w:before="80" w:after="60" w:line="259" w:lineRule="auto"/>
              <w:rPr>
                <w:lang w:val="en-GB"/>
              </w:rPr>
            </w:pPr>
            <w:r w:rsidRPr="002E4C0F">
              <w:rPr>
                <w:lang w:val="en-GB"/>
              </w:rPr>
              <w:t xml:space="preserve">Independent </w:t>
            </w:r>
            <w:r w:rsidRPr="002E4C0F">
              <w:rPr>
                <w:lang w:val="en-GB"/>
              </w:rPr>
              <w:t>variable</w:t>
            </w:r>
          </w:p>
        </w:tc>
        <w:tc>
          <w:tcPr>
            <w:tcW w:w="0" w:type="auto"/>
            <w:hideMark/>
          </w:tcPr>
          <w:p w14:paraId="534A8EA8" w14:textId="77777777" w:rsidR="002E4C0F" w:rsidRPr="002E4C0F" w:rsidRDefault="002E4C0F" w:rsidP="002E4C0F">
            <w:pPr>
              <w:spacing w:before="80" w:after="60" w:line="259" w:lineRule="auto"/>
              <w:rPr>
                <w:lang w:val="en-GB"/>
              </w:rPr>
            </w:pPr>
            <w:r w:rsidRPr="002E4C0F">
              <w:rPr>
                <w:lang w:val="en-GB"/>
              </w:rPr>
              <w:t>Portfolio-construction strategy</w:t>
            </w:r>
          </w:p>
        </w:tc>
        <w:tc>
          <w:tcPr>
            <w:tcW w:w="0" w:type="auto"/>
            <w:hideMark/>
          </w:tcPr>
          <w:p w14:paraId="6E4F9B85" w14:textId="77777777" w:rsidR="002E4C0F" w:rsidRPr="002E4C0F" w:rsidRDefault="002E4C0F" w:rsidP="002E4C0F">
            <w:pPr>
              <w:spacing w:before="80" w:after="60" w:line="259" w:lineRule="auto"/>
              <w:rPr>
                <w:lang w:val="en-GB"/>
              </w:rPr>
            </w:pPr>
            <w:r w:rsidRPr="002E4C0F">
              <w:rPr>
                <w:lang w:val="en-GB"/>
              </w:rPr>
              <w:t xml:space="preserve">Equal-Weight, Minimum-Variance, </w:t>
            </w:r>
            <w:proofErr w:type="spellStart"/>
            <w:r w:rsidRPr="002E4C0F">
              <w:rPr>
                <w:lang w:val="en-GB"/>
              </w:rPr>
              <w:t>CVaR</w:t>
            </w:r>
            <w:proofErr w:type="spellEnd"/>
            <w:r w:rsidRPr="002E4C0F">
              <w:rPr>
                <w:lang w:val="en-GB"/>
              </w:rPr>
              <w:t>-minimisation</w:t>
            </w:r>
          </w:p>
        </w:tc>
      </w:tr>
      <w:tr w:rsidR="002E4C0F" w:rsidRPr="002E4C0F" w14:paraId="09EBA908" w14:textId="77777777" w:rsidTr="002E4C0F">
        <w:tc>
          <w:tcPr>
            <w:tcW w:w="0" w:type="auto"/>
            <w:hideMark/>
          </w:tcPr>
          <w:p w14:paraId="5D94E8EE" w14:textId="77777777" w:rsidR="002E4C0F" w:rsidRPr="002E4C0F" w:rsidRDefault="002E4C0F" w:rsidP="002E4C0F">
            <w:pPr>
              <w:spacing w:before="80" w:after="60" w:line="259" w:lineRule="auto"/>
              <w:rPr>
                <w:lang w:val="en-GB"/>
              </w:rPr>
            </w:pPr>
            <w:r w:rsidRPr="002E4C0F">
              <w:rPr>
                <w:lang w:val="en-GB"/>
              </w:rPr>
              <w:t>Dependent variables</w:t>
            </w:r>
          </w:p>
        </w:tc>
        <w:tc>
          <w:tcPr>
            <w:tcW w:w="0" w:type="auto"/>
            <w:hideMark/>
          </w:tcPr>
          <w:p w14:paraId="34B8E062" w14:textId="77777777" w:rsidR="002E4C0F" w:rsidRPr="002E4C0F" w:rsidRDefault="002E4C0F" w:rsidP="002E4C0F">
            <w:pPr>
              <w:spacing w:before="80" w:after="60" w:line="259" w:lineRule="auto"/>
              <w:rPr>
                <w:lang w:val="en-GB"/>
              </w:rPr>
            </w:pPr>
            <w:r w:rsidRPr="002E4C0F">
              <w:rPr>
                <w:lang w:val="en-GB"/>
              </w:rPr>
              <w:t>Portfolio outcomes</w:t>
            </w:r>
          </w:p>
        </w:tc>
        <w:tc>
          <w:tcPr>
            <w:tcW w:w="0" w:type="auto"/>
            <w:hideMark/>
          </w:tcPr>
          <w:p w14:paraId="3384D4FC" w14:textId="77777777" w:rsidR="002E4C0F" w:rsidRPr="002E4C0F" w:rsidRDefault="002E4C0F" w:rsidP="002E4C0F">
            <w:pPr>
              <w:spacing w:before="80" w:after="60" w:line="259" w:lineRule="auto"/>
              <w:rPr>
                <w:lang w:val="en-GB"/>
              </w:rPr>
            </w:pPr>
            <w:r w:rsidRPr="002E4C0F">
              <w:rPr>
                <w:lang w:val="en-GB"/>
              </w:rPr>
              <w:t xml:space="preserve">CAGR, annualised volatility, Sharpe ratio, </w:t>
            </w:r>
            <w:proofErr w:type="spellStart"/>
            <w:r w:rsidRPr="002E4C0F">
              <w:rPr>
                <w:lang w:val="en-GB"/>
              </w:rPr>
              <w:t>Sortino</w:t>
            </w:r>
            <w:proofErr w:type="spellEnd"/>
            <w:r w:rsidRPr="002E4C0F">
              <w:rPr>
                <w:lang w:val="en-GB"/>
              </w:rPr>
              <w:t xml:space="preserve"> ratio, </w:t>
            </w:r>
            <w:proofErr w:type="spellStart"/>
            <w:r w:rsidRPr="002E4C0F">
              <w:rPr>
                <w:lang w:val="en-GB"/>
              </w:rPr>
              <w:t>VaR</w:t>
            </w:r>
            <w:proofErr w:type="spellEnd"/>
            <w:r w:rsidRPr="002E4C0F">
              <w:rPr>
                <w:lang w:val="en-GB"/>
              </w:rPr>
              <w:t xml:space="preserve">, </w:t>
            </w:r>
            <w:proofErr w:type="spellStart"/>
            <w:r w:rsidRPr="002E4C0F">
              <w:rPr>
                <w:lang w:val="en-GB"/>
              </w:rPr>
              <w:t>CVaR</w:t>
            </w:r>
            <w:proofErr w:type="spellEnd"/>
            <w:r w:rsidRPr="002E4C0F">
              <w:rPr>
                <w:lang w:val="en-GB"/>
              </w:rPr>
              <w:t>, maximum drawdown</w:t>
            </w:r>
          </w:p>
        </w:tc>
      </w:tr>
      <w:tr w:rsidR="002E4C0F" w:rsidRPr="002E4C0F" w14:paraId="5197B529" w14:textId="77777777" w:rsidTr="002E4C0F">
        <w:tc>
          <w:tcPr>
            <w:tcW w:w="0" w:type="auto"/>
            <w:hideMark/>
          </w:tcPr>
          <w:p w14:paraId="30C05772" w14:textId="77777777" w:rsidR="002E4C0F" w:rsidRPr="002E4C0F" w:rsidRDefault="002E4C0F" w:rsidP="002E4C0F">
            <w:pPr>
              <w:spacing w:before="80" w:after="60" w:line="259" w:lineRule="auto"/>
              <w:rPr>
                <w:lang w:val="en-GB"/>
              </w:rPr>
            </w:pPr>
            <w:r w:rsidRPr="002E4C0F">
              <w:rPr>
                <w:lang w:val="en-GB"/>
              </w:rPr>
              <w:t>Control variables</w:t>
            </w:r>
          </w:p>
        </w:tc>
        <w:tc>
          <w:tcPr>
            <w:tcW w:w="0" w:type="auto"/>
            <w:hideMark/>
          </w:tcPr>
          <w:p w14:paraId="5DE78B73" w14:textId="77777777" w:rsidR="002E4C0F" w:rsidRPr="002E4C0F" w:rsidRDefault="002E4C0F" w:rsidP="002E4C0F">
            <w:pPr>
              <w:spacing w:before="80" w:after="60" w:line="259" w:lineRule="auto"/>
              <w:rPr>
                <w:lang w:val="en-GB"/>
              </w:rPr>
            </w:pPr>
            <w:r w:rsidRPr="002E4C0F">
              <w:rPr>
                <w:lang w:val="en-GB"/>
              </w:rPr>
              <w:t>ETF universe</w:t>
            </w:r>
          </w:p>
        </w:tc>
        <w:tc>
          <w:tcPr>
            <w:tcW w:w="0" w:type="auto"/>
            <w:hideMark/>
          </w:tcPr>
          <w:p w14:paraId="16DDAF38" w14:textId="77777777" w:rsidR="002E4C0F" w:rsidRPr="002E4C0F" w:rsidRDefault="002E4C0F" w:rsidP="002E4C0F">
            <w:pPr>
              <w:spacing w:before="80" w:after="60" w:line="259" w:lineRule="auto"/>
              <w:rPr>
                <w:lang w:val="en-GB"/>
              </w:rPr>
            </w:pPr>
            <w:r w:rsidRPr="002E4C0F">
              <w:rPr>
                <w:lang w:val="en-GB"/>
              </w:rPr>
              <w:t>Fixed six-ETF Malta-accessible UCITS basket</w:t>
            </w:r>
          </w:p>
        </w:tc>
      </w:tr>
      <w:tr w:rsidR="002E4C0F" w:rsidRPr="002E4C0F" w14:paraId="48D55B10" w14:textId="77777777" w:rsidTr="002E4C0F">
        <w:tc>
          <w:tcPr>
            <w:tcW w:w="0" w:type="auto"/>
            <w:hideMark/>
          </w:tcPr>
          <w:p w14:paraId="440DBA1D" w14:textId="77777777" w:rsidR="002E4C0F" w:rsidRPr="002E4C0F" w:rsidRDefault="002E4C0F" w:rsidP="002E4C0F">
            <w:pPr>
              <w:spacing w:before="80" w:after="60" w:line="259" w:lineRule="auto"/>
              <w:rPr>
                <w:lang w:val="en-GB"/>
              </w:rPr>
            </w:pPr>
            <w:r w:rsidRPr="002E4C0F">
              <w:rPr>
                <w:lang w:val="en-GB"/>
              </w:rPr>
              <w:t>Control variables</w:t>
            </w:r>
          </w:p>
        </w:tc>
        <w:tc>
          <w:tcPr>
            <w:tcW w:w="0" w:type="auto"/>
            <w:hideMark/>
          </w:tcPr>
          <w:p w14:paraId="5DA9CAAB" w14:textId="77777777" w:rsidR="002E4C0F" w:rsidRPr="002E4C0F" w:rsidRDefault="002E4C0F" w:rsidP="002E4C0F">
            <w:pPr>
              <w:spacing w:before="80" w:after="60" w:line="259" w:lineRule="auto"/>
              <w:rPr>
                <w:lang w:val="en-GB"/>
              </w:rPr>
            </w:pPr>
            <w:r w:rsidRPr="002E4C0F">
              <w:rPr>
                <w:lang w:val="en-GB"/>
              </w:rPr>
              <w:t>Data treatment</w:t>
            </w:r>
          </w:p>
        </w:tc>
        <w:tc>
          <w:tcPr>
            <w:tcW w:w="0" w:type="auto"/>
            <w:hideMark/>
          </w:tcPr>
          <w:p w14:paraId="55D0DDAF" w14:textId="77777777" w:rsidR="002E4C0F" w:rsidRPr="002E4C0F" w:rsidRDefault="002E4C0F" w:rsidP="002E4C0F">
            <w:pPr>
              <w:spacing w:before="80" w:after="60" w:line="259" w:lineRule="auto"/>
              <w:rPr>
                <w:lang w:val="en-GB"/>
              </w:rPr>
            </w:pPr>
            <w:r w:rsidRPr="002E4C0F">
              <w:rPr>
                <w:lang w:val="en-GB"/>
              </w:rPr>
              <w:t>Adjusted closing prices, common trading dates, identical return-construction procedure</w:t>
            </w:r>
          </w:p>
        </w:tc>
      </w:tr>
      <w:tr w:rsidR="002E4C0F" w:rsidRPr="002E4C0F" w14:paraId="29A44299" w14:textId="77777777" w:rsidTr="002E4C0F">
        <w:tc>
          <w:tcPr>
            <w:tcW w:w="0" w:type="auto"/>
            <w:hideMark/>
          </w:tcPr>
          <w:p w14:paraId="3C136282" w14:textId="77777777" w:rsidR="002E4C0F" w:rsidRPr="002E4C0F" w:rsidRDefault="002E4C0F" w:rsidP="002E4C0F">
            <w:pPr>
              <w:spacing w:before="80" w:after="60" w:line="259" w:lineRule="auto"/>
              <w:rPr>
                <w:lang w:val="en-GB"/>
              </w:rPr>
            </w:pPr>
            <w:r w:rsidRPr="002E4C0F">
              <w:rPr>
                <w:lang w:val="en-GB"/>
              </w:rPr>
              <w:t>Control variables</w:t>
            </w:r>
          </w:p>
        </w:tc>
        <w:tc>
          <w:tcPr>
            <w:tcW w:w="0" w:type="auto"/>
            <w:hideMark/>
          </w:tcPr>
          <w:p w14:paraId="4EB6EC11" w14:textId="77777777" w:rsidR="002E4C0F" w:rsidRPr="002E4C0F" w:rsidRDefault="002E4C0F" w:rsidP="002E4C0F">
            <w:pPr>
              <w:spacing w:before="80" w:after="60" w:line="259" w:lineRule="auto"/>
              <w:rPr>
                <w:lang w:val="en-GB"/>
              </w:rPr>
            </w:pPr>
            <w:r w:rsidRPr="002E4C0F">
              <w:rPr>
                <w:lang w:val="en-GB"/>
              </w:rPr>
              <w:t>Investment constraints</w:t>
            </w:r>
          </w:p>
        </w:tc>
        <w:tc>
          <w:tcPr>
            <w:tcW w:w="0" w:type="auto"/>
            <w:hideMark/>
          </w:tcPr>
          <w:p w14:paraId="5A8B3605" w14:textId="77777777" w:rsidR="002E4C0F" w:rsidRPr="002E4C0F" w:rsidRDefault="002E4C0F" w:rsidP="002E4C0F">
            <w:pPr>
              <w:spacing w:before="80" w:after="60" w:line="259" w:lineRule="auto"/>
              <w:rPr>
                <w:lang w:val="en-GB"/>
              </w:rPr>
            </w:pPr>
            <w:r w:rsidRPr="002E4C0F">
              <w:rPr>
                <w:lang w:val="en-GB"/>
              </w:rPr>
              <w:t>Long-only, fully invested</w:t>
            </w:r>
          </w:p>
        </w:tc>
      </w:tr>
      <w:tr w:rsidR="002E4C0F" w:rsidRPr="002E4C0F" w14:paraId="02852AE2" w14:textId="77777777" w:rsidTr="002E4C0F">
        <w:tc>
          <w:tcPr>
            <w:tcW w:w="0" w:type="auto"/>
            <w:hideMark/>
          </w:tcPr>
          <w:p w14:paraId="1D9BA6D3" w14:textId="77777777" w:rsidR="002E4C0F" w:rsidRPr="002E4C0F" w:rsidRDefault="002E4C0F" w:rsidP="002E4C0F">
            <w:pPr>
              <w:spacing w:before="80" w:after="60" w:line="259" w:lineRule="auto"/>
              <w:rPr>
                <w:lang w:val="en-GB"/>
              </w:rPr>
            </w:pPr>
            <w:r w:rsidRPr="002E4C0F">
              <w:rPr>
                <w:lang w:val="en-GB"/>
              </w:rPr>
              <w:t>Control variables</w:t>
            </w:r>
          </w:p>
        </w:tc>
        <w:tc>
          <w:tcPr>
            <w:tcW w:w="0" w:type="auto"/>
            <w:hideMark/>
          </w:tcPr>
          <w:p w14:paraId="775BABD0" w14:textId="77777777" w:rsidR="002E4C0F" w:rsidRPr="002E4C0F" w:rsidRDefault="002E4C0F" w:rsidP="002E4C0F">
            <w:pPr>
              <w:spacing w:before="80" w:after="60" w:line="259" w:lineRule="auto"/>
              <w:rPr>
                <w:lang w:val="en-GB"/>
              </w:rPr>
            </w:pPr>
            <w:proofErr w:type="spellStart"/>
            <w:r w:rsidRPr="002E4C0F">
              <w:rPr>
                <w:lang w:val="en-GB"/>
              </w:rPr>
              <w:t>Backtesting</w:t>
            </w:r>
            <w:proofErr w:type="spellEnd"/>
            <w:r w:rsidRPr="002E4C0F">
              <w:rPr>
                <w:lang w:val="en-GB"/>
              </w:rPr>
              <w:t xml:space="preserve"> settings</w:t>
            </w:r>
          </w:p>
        </w:tc>
        <w:tc>
          <w:tcPr>
            <w:tcW w:w="0" w:type="auto"/>
            <w:hideMark/>
          </w:tcPr>
          <w:p w14:paraId="12DB4F7D" w14:textId="77777777" w:rsidR="002E4C0F" w:rsidRPr="002E4C0F" w:rsidRDefault="002E4C0F" w:rsidP="002E4C0F">
            <w:pPr>
              <w:spacing w:before="80" w:after="60" w:line="259" w:lineRule="auto"/>
              <w:rPr>
                <w:lang w:val="en-GB"/>
              </w:rPr>
            </w:pPr>
            <w:r w:rsidRPr="002E4C0F">
              <w:rPr>
                <w:lang w:val="en-GB"/>
              </w:rPr>
              <w:t>Same rolling estimation logic, rebalancing structure, and evaluation period for all strategies</w:t>
            </w:r>
          </w:p>
        </w:tc>
      </w:tr>
    </w:tbl>
    <w:p w14:paraId="56EC11F8" w14:textId="65D905D7" w:rsidR="00AF4329" w:rsidRDefault="0093629A" w:rsidP="00AF4329">
      <w:pPr>
        <w:spacing w:before="80" w:after="60" w:line="259" w:lineRule="auto"/>
      </w:pPr>
      <w:r w:rsidRPr="0093629A">
        <w:t xml:space="preserve">The present study adopted a positivist philosophy, a deductive approach, and a mono-method quantitative design. This choice was appropriate because the research aimed to test whether changing the portfolio-construction rule produced measurable differences in objectively observed portfolio outcomes. More specifically, the study employed a controlled experimental </w:t>
      </w:r>
      <w:proofErr w:type="spellStart"/>
      <w:r w:rsidRPr="0093629A">
        <w:t>backtesting</w:t>
      </w:r>
      <w:proofErr w:type="spellEnd"/>
      <w:r w:rsidRPr="0093629A">
        <w:t xml:space="preserve"> strategy using secondary historical ETF data. This design was methodologically suitable because the ETF universe, data treatment, and investment constraints </w:t>
      </w:r>
      <w:proofErr w:type="gramStart"/>
      <w:r w:rsidRPr="0093629A">
        <w:t>were held</w:t>
      </w:r>
      <w:proofErr w:type="gramEnd"/>
      <w:r w:rsidRPr="0093629A">
        <w:t xml:space="preserve"> constant, while the portfolio-construction rule was varied across Equal-Weight, Minimum-Variance, and </w:t>
      </w:r>
      <w:proofErr w:type="spellStart"/>
      <w:r w:rsidRPr="0093629A">
        <w:t>CVaR-minimisation</w:t>
      </w:r>
      <w:proofErr w:type="spellEnd"/>
      <w:r w:rsidRPr="0093629A">
        <w:t xml:space="preserve">. In this way, the study </w:t>
      </w:r>
      <w:proofErr w:type="gramStart"/>
      <w:r w:rsidRPr="0093629A">
        <w:t>was designed</w:t>
      </w:r>
      <w:proofErr w:type="gramEnd"/>
      <w:r w:rsidRPr="0093629A">
        <w:t xml:space="preserve"> to isolate the effect of the </w:t>
      </w:r>
      <w:proofErr w:type="spellStart"/>
      <w:r w:rsidRPr="0093629A">
        <w:t>optimisation</w:t>
      </w:r>
      <w:proofErr w:type="spellEnd"/>
      <w:r w:rsidRPr="0093629A">
        <w:t xml:space="preserve"> approach as clearly as possible.</w:t>
      </w:r>
    </w:p>
    <w:p w14:paraId="5251A2C6" w14:textId="02684DE7" w:rsidR="0093629A" w:rsidRDefault="0093629A" w:rsidP="00AF4329">
      <w:pPr>
        <w:spacing w:before="80" w:after="60" w:line="259" w:lineRule="auto"/>
      </w:pPr>
      <w:r w:rsidRPr="0093629A">
        <w:t xml:space="preserve">The independent variable in the study was the portfolio-construction strategy, </w:t>
      </w:r>
      <w:proofErr w:type="spellStart"/>
      <w:r w:rsidRPr="0093629A">
        <w:t>operationalised</w:t>
      </w:r>
      <w:proofErr w:type="spellEnd"/>
      <w:r w:rsidRPr="0093629A">
        <w:t xml:space="preserve"> through three portfolio rules: Equal-Weight, Minimum-Variance, and </w:t>
      </w:r>
      <w:proofErr w:type="spellStart"/>
      <w:r w:rsidRPr="0093629A">
        <w:t>CVaR-minimisation</w:t>
      </w:r>
      <w:proofErr w:type="spellEnd"/>
      <w:r w:rsidRPr="0093629A">
        <w:t xml:space="preserve">. The dependent variables were the observed portfolio outcomes, namely CAGR, </w:t>
      </w:r>
      <w:proofErr w:type="spellStart"/>
      <w:r w:rsidRPr="0093629A">
        <w:t>annualised</w:t>
      </w:r>
      <w:proofErr w:type="spellEnd"/>
      <w:r w:rsidRPr="0093629A">
        <w:t xml:space="preserve"> volatility, Sharpe ratio, </w:t>
      </w:r>
      <w:proofErr w:type="spellStart"/>
      <w:r w:rsidRPr="0093629A">
        <w:t>Sortino</w:t>
      </w:r>
      <w:proofErr w:type="spellEnd"/>
      <w:r w:rsidRPr="0093629A">
        <w:t xml:space="preserve"> ratio, </w:t>
      </w:r>
      <w:proofErr w:type="spellStart"/>
      <w:r w:rsidRPr="0093629A">
        <w:t>VaR</w:t>
      </w:r>
      <w:proofErr w:type="spellEnd"/>
      <w:r w:rsidRPr="0093629A">
        <w:t xml:space="preserve">, </w:t>
      </w:r>
      <w:proofErr w:type="spellStart"/>
      <w:r w:rsidRPr="0093629A">
        <w:t>CVaR</w:t>
      </w:r>
      <w:proofErr w:type="spellEnd"/>
      <w:r w:rsidRPr="0093629A">
        <w:t xml:space="preserve">, and maximum drawdown. To preserve comparability, the ETF universe, adjusted-price treatment, common-date alignment, long-only fully invested constraints, and the same rolling out-of-sample testing framework </w:t>
      </w:r>
      <w:proofErr w:type="gramStart"/>
      <w:r w:rsidRPr="0093629A">
        <w:t>were treated</w:t>
      </w:r>
      <w:proofErr w:type="gramEnd"/>
      <w:r w:rsidRPr="0093629A">
        <w:t xml:space="preserve"> as control variables. Since the study evaluated repeated portfolio outcomes over time rather than collecting subjective human responses, the design was consistent with a quantitative </w:t>
      </w:r>
      <w:proofErr w:type="spellStart"/>
      <w:r w:rsidRPr="0093629A">
        <w:t>backtesting</w:t>
      </w:r>
      <w:proofErr w:type="spellEnd"/>
      <w:r w:rsidRPr="0093629A">
        <w:t xml:space="preserve"> methodology.</w:t>
      </w:r>
    </w:p>
    <w:p w14:paraId="29C867FF" w14:textId="77777777" w:rsidR="0093629A" w:rsidRPr="0093629A" w:rsidRDefault="0093629A" w:rsidP="0093629A">
      <w:pPr>
        <w:spacing w:before="80" w:after="60" w:line="259" w:lineRule="auto"/>
        <w:rPr>
          <w:b/>
          <w:bCs/>
          <w:lang w:val="en-GB"/>
        </w:rPr>
      </w:pPr>
      <w:r w:rsidRPr="0093629A">
        <w:rPr>
          <w:b/>
          <w:bCs/>
          <w:lang w:val="en-GB"/>
        </w:rPr>
        <w:t>C. Dataset and Data Preparation</w:t>
      </w:r>
    </w:p>
    <w:p w14:paraId="084A6899" w14:textId="77777777" w:rsidR="0093629A" w:rsidRPr="0093629A" w:rsidRDefault="0093629A" w:rsidP="0093629A">
      <w:pPr>
        <w:spacing w:before="80" w:after="60" w:line="259" w:lineRule="auto"/>
        <w:rPr>
          <w:lang w:val="en-GB"/>
        </w:rPr>
      </w:pPr>
      <w:r w:rsidRPr="0093629A">
        <w:rPr>
          <w:lang w:val="en-GB"/>
        </w:rPr>
        <w:lastRenderedPageBreak/>
        <w:t>The dataset used in this study consisted of secondary historical ETF market-price data for a fixed basket of six Malta-accessible UCITS ETFs, representing four equity sleeves and two government-bond sleeves. The selected basket comprised iShares Core S&amp;P 500 UCITS ETF USD (</w:t>
      </w:r>
      <w:proofErr w:type="spellStart"/>
      <w:r w:rsidRPr="0093629A">
        <w:rPr>
          <w:lang w:val="en-GB"/>
        </w:rPr>
        <w:t>Acc</w:t>
      </w:r>
      <w:proofErr w:type="spellEnd"/>
      <w:r w:rsidRPr="0093629A">
        <w:rPr>
          <w:lang w:val="en-GB"/>
        </w:rPr>
        <w:t>), iShares Core MSCI Europe UCITS ETF EUR (</w:t>
      </w:r>
      <w:proofErr w:type="spellStart"/>
      <w:r w:rsidRPr="0093629A">
        <w:rPr>
          <w:lang w:val="en-GB"/>
        </w:rPr>
        <w:t>Acc</w:t>
      </w:r>
      <w:proofErr w:type="spellEnd"/>
      <w:r w:rsidRPr="0093629A">
        <w:rPr>
          <w:lang w:val="en-GB"/>
        </w:rPr>
        <w:t>), iShares Core MSCI Japan IMI UCITS ETF, iShares Core MSCI Emerging Markets IMI UCITS ETF (</w:t>
      </w:r>
      <w:proofErr w:type="spellStart"/>
      <w:r w:rsidRPr="0093629A">
        <w:rPr>
          <w:lang w:val="en-GB"/>
        </w:rPr>
        <w:t>Acc</w:t>
      </w:r>
      <w:proofErr w:type="spellEnd"/>
      <w:r w:rsidRPr="0093629A">
        <w:rPr>
          <w:lang w:val="en-GB"/>
        </w:rPr>
        <w:t>), iShares USD Treasury Bond 7–10yr UCITS ETF (</w:t>
      </w:r>
      <w:proofErr w:type="spellStart"/>
      <w:r w:rsidRPr="0093629A">
        <w:rPr>
          <w:lang w:val="en-GB"/>
        </w:rPr>
        <w:t>Acc</w:t>
      </w:r>
      <w:proofErr w:type="spellEnd"/>
      <w:r w:rsidRPr="0093629A">
        <w:rPr>
          <w:lang w:val="en-GB"/>
        </w:rPr>
        <w:t>), and iShares Euro Government Bond 7–10yr UCITS ETF (</w:t>
      </w:r>
      <w:proofErr w:type="spellStart"/>
      <w:r w:rsidRPr="0093629A">
        <w:rPr>
          <w:lang w:val="en-GB"/>
        </w:rPr>
        <w:t>Acc</w:t>
      </w:r>
      <w:proofErr w:type="spellEnd"/>
      <w:r w:rsidRPr="0093629A">
        <w:rPr>
          <w:lang w:val="en-GB"/>
        </w:rPr>
        <w:t>). ISINs were treated as the master identifiers for the basket, while EUR was used as the reporting currency for analysis.</w:t>
      </w:r>
    </w:p>
    <w:p w14:paraId="61A89B7F" w14:textId="06FADFE3" w:rsidR="0093629A" w:rsidRDefault="0093629A" w:rsidP="00AF4329">
      <w:pPr>
        <w:spacing w:before="80" w:after="60" w:line="259" w:lineRule="auto"/>
      </w:pPr>
      <w:r w:rsidRPr="0093629A">
        <w:t xml:space="preserve">Historical adjusted closing prices </w:t>
      </w:r>
      <w:proofErr w:type="gramStart"/>
      <w:r w:rsidRPr="0093629A">
        <w:t>were downloaded</w:t>
      </w:r>
      <w:proofErr w:type="gramEnd"/>
      <w:r w:rsidRPr="0093629A">
        <w:t xml:space="preserve"> as an exchange market-price dataset through the </w:t>
      </w:r>
      <w:proofErr w:type="spellStart"/>
      <w:r w:rsidRPr="0093629A">
        <w:t>yfinance</w:t>
      </w:r>
      <w:proofErr w:type="spellEnd"/>
      <w:r w:rsidRPr="0093629A">
        <w:t xml:space="preserve"> interface and stored locally for reproducibility. Adjusted prices </w:t>
      </w:r>
      <w:proofErr w:type="gramStart"/>
      <w:r w:rsidRPr="0093629A">
        <w:t>were used</w:t>
      </w:r>
      <w:proofErr w:type="gramEnd"/>
      <w:r w:rsidRPr="0093629A">
        <w:t xml:space="preserve"> because they provided a more consistent basis for return calculation than unadjusted closing prices. The raw data </w:t>
      </w:r>
      <w:proofErr w:type="gramStart"/>
      <w:r w:rsidRPr="0093629A">
        <w:t>were then aligned</w:t>
      </w:r>
      <w:proofErr w:type="gramEnd"/>
      <w:r w:rsidRPr="0093629A">
        <w:t xml:space="preserve"> across common trading dates, checked for completeness, and cleaned to handle missing observations before periodic returns were computed from the aligned series. This preparation stage was necessary to ensure that all three portfolio-construction rules </w:t>
      </w:r>
      <w:proofErr w:type="gramStart"/>
      <w:r w:rsidRPr="0093629A">
        <w:t>were tested</w:t>
      </w:r>
      <w:proofErr w:type="gramEnd"/>
      <w:r w:rsidRPr="0093629A">
        <w:t xml:space="preserve"> on the same underlying data under identical conditions.</w:t>
      </w:r>
    </w:p>
    <w:p w14:paraId="56096524" w14:textId="77777777" w:rsidR="009C401A" w:rsidRPr="009C401A" w:rsidRDefault="009C401A" w:rsidP="009C401A">
      <w:pPr>
        <w:spacing w:before="80" w:after="60" w:line="259" w:lineRule="auto"/>
        <w:rPr>
          <w:b/>
          <w:bCs/>
          <w:lang w:val="en-GB"/>
        </w:rPr>
      </w:pPr>
      <w:r w:rsidRPr="009C401A">
        <w:rPr>
          <w:b/>
          <w:bCs/>
          <w:lang w:val="en-GB"/>
        </w:rPr>
        <w:t xml:space="preserve">D. Portfolio-Construction and Rolling Out-of-Sample </w:t>
      </w:r>
      <w:proofErr w:type="spellStart"/>
      <w:r w:rsidRPr="009C401A">
        <w:rPr>
          <w:b/>
          <w:bCs/>
          <w:lang w:val="en-GB"/>
        </w:rPr>
        <w:t>Backtesting</w:t>
      </w:r>
      <w:proofErr w:type="spellEnd"/>
    </w:p>
    <w:p w14:paraId="770BD65C" w14:textId="3F461EB0" w:rsidR="00655A60" w:rsidRPr="009C401A" w:rsidRDefault="009C401A" w:rsidP="009C401A">
      <w:pPr>
        <w:spacing w:before="80" w:after="60" w:line="259" w:lineRule="auto"/>
        <w:rPr>
          <w:lang w:val="en-GB"/>
        </w:rPr>
      </w:pPr>
      <w:r w:rsidRPr="009C401A">
        <w:rPr>
          <w:lang w:val="en-GB"/>
        </w:rPr>
        <w:t xml:space="preserve">Three portfolio-construction strategies were implemented in the study. Equal-Weight served as a transparent benchmark in which capital was allocated equally across all ETFs. Minimum-Variance represented the classical variance-based optimisation approach, while </w:t>
      </w:r>
      <w:proofErr w:type="spellStart"/>
      <w:r w:rsidRPr="009C401A">
        <w:rPr>
          <w:lang w:val="en-GB"/>
        </w:rPr>
        <w:t>CVaR</w:t>
      </w:r>
      <w:proofErr w:type="spellEnd"/>
      <w:r w:rsidRPr="009C401A">
        <w:rPr>
          <w:lang w:val="en-GB"/>
        </w:rPr>
        <w:t>-minimisation represented the downside-risk approach under investigation. All three strategies were implemented under shared investment constraints so that no short selling was permitted and the full portfolio weight remained invested at each rebalance point. This ensured that the comparison remained controlled, interpretable, and directly aligned with the hypothesis.</w:t>
      </w:r>
    </w:p>
    <w:p w14:paraId="5A3743A0" w14:textId="51B59203" w:rsidR="009C401A" w:rsidRDefault="00E479B1" w:rsidP="00AF4329">
      <w:pPr>
        <w:spacing w:before="80" w:after="60" w:line="259" w:lineRule="auto"/>
      </w:pPr>
      <w:r w:rsidRPr="00E479B1">
        <w:rPr>
          <w:highlight w:val="yellow"/>
        </w:rPr>
        <w:t xml:space="preserve">The study used historical ETF data covering 2016–2025 and employed a rolling out-of-sample </w:t>
      </w:r>
      <w:proofErr w:type="spellStart"/>
      <w:r w:rsidRPr="00E479B1">
        <w:rPr>
          <w:highlight w:val="yellow"/>
        </w:rPr>
        <w:t>backtesting</w:t>
      </w:r>
      <w:proofErr w:type="spellEnd"/>
      <w:r w:rsidRPr="00E479B1">
        <w:rPr>
          <w:highlight w:val="yellow"/>
        </w:rPr>
        <w:t xml:space="preserve"> design with a 252-trading-day initial estimation window</w:t>
      </w:r>
      <w:r w:rsidR="00252CD8" w:rsidRPr="00E479B1">
        <w:rPr>
          <w:highlight w:val="yellow"/>
        </w:rPr>
        <w:t>.</w:t>
      </w:r>
      <w:r w:rsidR="00252CD8" w:rsidRPr="00252CD8">
        <w:t xml:space="preserve"> </w:t>
      </w:r>
      <w:r w:rsidR="00250111" w:rsidRPr="00250111">
        <w:t>A</w:t>
      </w:r>
      <w:r w:rsidR="00250111" w:rsidRPr="00250111">
        <w:rPr>
          <w:highlight w:val="yellow"/>
        </w:rPr>
        <w:t xml:space="preserve">ccordingly, although the full dataset spans 2016–2025, the </w:t>
      </w:r>
      <w:proofErr w:type="spellStart"/>
      <w:r w:rsidR="00250111" w:rsidRPr="00250111">
        <w:rPr>
          <w:highlight w:val="yellow"/>
        </w:rPr>
        <w:t>realised</w:t>
      </w:r>
      <w:proofErr w:type="spellEnd"/>
      <w:r w:rsidR="00250111" w:rsidRPr="00250111">
        <w:rPr>
          <w:highlight w:val="yellow"/>
        </w:rPr>
        <w:t xml:space="preserve"> out-of-sample portfolio results begin in early 2017 after the first estimation window has </w:t>
      </w:r>
      <w:proofErr w:type="gramStart"/>
      <w:r w:rsidR="00250111" w:rsidRPr="00250111">
        <w:rPr>
          <w:highlight w:val="yellow"/>
        </w:rPr>
        <w:t>been formed</w:t>
      </w:r>
      <w:proofErr w:type="gramEnd"/>
      <w:r w:rsidR="00250111" w:rsidRPr="00250111">
        <w:rPr>
          <w:highlight w:val="yellow"/>
        </w:rPr>
        <w:t>.</w:t>
      </w:r>
      <w:r w:rsidR="00250111">
        <w:t xml:space="preserve"> </w:t>
      </w:r>
      <w:r w:rsidR="00252CD8" w:rsidRPr="00252CD8">
        <w:t xml:space="preserve">At each rebalance date, portfolio weights </w:t>
      </w:r>
      <w:proofErr w:type="gramStart"/>
      <w:r w:rsidR="00252CD8" w:rsidRPr="00252CD8">
        <w:t>were estimated</w:t>
      </w:r>
      <w:proofErr w:type="gramEnd"/>
      <w:r w:rsidR="00252CD8" w:rsidRPr="00252CD8">
        <w:t xml:space="preserve"> from the preceding in-sample window and then applied to the subsequent out-of-sample holding period. The window </w:t>
      </w:r>
      <w:proofErr w:type="gramStart"/>
      <w:r w:rsidR="00252CD8" w:rsidRPr="00252CD8">
        <w:t>was then rolled</w:t>
      </w:r>
      <w:proofErr w:type="gramEnd"/>
      <w:r w:rsidR="00252CD8" w:rsidRPr="00252CD8">
        <w:t xml:space="preserve"> forward and the procedure repeated until the end of the sample. This design </w:t>
      </w:r>
      <w:proofErr w:type="gramStart"/>
      <w:r w:rsidR="00252CD8" w:rsidRPr="00252CD8">
        <w:t>was preferred</w:t>
      </w:r>
      <w:proofErr w:type="gramEnd"/>
      <w:r w:rsidR="00252CD8" w:rsidRPr="00252CD8">
        <w:t xml:space="preserve"> to a single in-sample </w:t>
      </w:r>
      <w:proofErr w:type="spellStart"/>
      <w:r w:rsidR="00252CD8" w:rsidRPr="00252CD8">
        <w:t>optimisation</w:t>
      </w:r>
      <w:proofErr w:type="spellEnd"/>
      <w:r w:rsidR="00252CD8" w:rsidRPr="00252CD8">
        <w:t xml:space="preserve"> because it reduced look-ahead </w:t>
      </w:r>
      <w:r w:rsidR="00252CD8" w:rsidRPr="00252CD8">
        <w:t>bias and enabled repeated testing across different market conditions. In methodological terms, this rolling structure was also consistent with the evaluation patterns identified in the reviewed portfolio-</w:t>
      </w:r>
      <w:proofErr w:type="spellStart"/>
      <w:r w:rsidR="00252CD8" w:rsidRPr="00252CD8">
        <w:t>optimisation</w:t>
      </w:r>
      <w:proofErr w:type="spellEnd"/>
      <w:r w:rsidR="00252CD8" w:rsidRPr="00252CD8">
        <w:t xml:space="preserve"> literature.</w:t>
      </w:r>
    </w:p>
    <w:p w14:paraId="5B1E3771" w14:textId="131A49CF" w:rsidR="001F578D" w:rsidRDefault="001F578D" w:rsidP="00AF4329">
      <w:pPr>
        <w:spacing w:before="80" w:after="60" w:line="259" w:lineRule="auto"/>
      </w:pPr>
      <w:r w:rsidRPr="001F578D">
        <w:t xml:space="preserve">A separate pilot study </w:t>
      </w:r>
      <w:proofErr w:type="gramStart"/>
      <w:r w:rsidRPr="001F578D">
        <w:t>was not required</w:t>
      </w:r>
      <w:proofErr w:type="gramEnd"/>
      <w:r w:rsidRPr="001F578D">
        <w:t xml:space="preserve"> because the research did not involve human participants, questionnaires, or competing candidate systems that first needed to be screened before main testing. Instead, preliminary implementation checks </w:t>
      </w:r>
      <w:proofErr w:type="gramStart"/>
      <w:r w:rsidRPr="001F578D">
        <w:t>were carried</w:t>
      </w:r>
      <w:proofErr w:type="gramEnd"/>
      <w:r w:rsidRPr="001F578D">
        <w:t xml:space="preserve"> out to verify price alignment, return calculation, </w:t>
      </w:r>
      <w:proofErr w:type="spellStart"/>
      <w:r w:rsidRPr="001F578D">
        <w:t>optimisation</w:t>
      </w:r>
      <w:proofErr w:type="spellEnd"/>
      <w:r w:rsidRPr="001F578D">
        <w:t xml:space="preserve"> constraints, and output consistency before running the full </w:t>
      </w:r>
      <w:proofErr w:type="spellStart"/>
      <w:r w:rsidRPr="001F578D">
        <w:t>backtest</w:t>
      </w:r>
      <w:proofErr w:type="spellEnd"/>
      <w:r w:rsidRPr="001F578D">
        <w:t>. This was sufficient for establishing a stable quantitative workflow without introducing an unnecessary additional experimental phase.</w:t>
      </w:r>
    </w:p>
    <w:p w14:paraId="0C1FCF53" w14:textId="77777777" w:rsidR="0045262F" w:rsidRPr="0045262F" w:rsidRDefault="0045262F" w:rsidP="0045262F">
      <w:pPr>
        <w:spacing w:before="80" w:after="60" w:line="259" w:lineRule="auto"/>
        <w:rPr>
          <w:b/>
          <w:bCs/>
          <w:lang w:val="en-GB"/>
        </w:rPr>
      </w:pPr>
      <w:r w:rsidRPr="0045262F">
        <w:rPr>
          <w:b/>
          <w:bCs/>
          <w:lang w:val="en-GB"/>
        </w:rPr>
        <w:t>E. Performance Evaluation</w:t>
      </w:r>
    </w:p>
    <w:p w14:paraId="3B61488B" w14:textId="77777777" w:rsidR="0045262F" w:rsidRPr="0045262F" w:rsidRDefault="0045262F" w:rsidP="0045262F">
      <w:pPr>
        <w:spacing w:before="80" w:after="60" w:line="259" w:lineRule="auto"/>
        <w:rPr>
          <w:lang w:val="en-GB"/>
        </w:rPr>
      </w:pPr>
      <w:r w:rsidRPr="0045262F">
        <w:rPr>
          <w:lang w:val="en-GB"/>
        </w:rPr>
        <w:t xml:space="preserve">The realised out-of-sample portfolio results were evaluated using both return-oriented and downside-risk metrics. Return and risk-adjusted performance were assessed using CAGR, annualised volatility, Sharpe ratio, and </w:t>
      </w:r>
      <w:proofErr w:type="spellStart"/>
      <w:r w:rsidRPr="0045262F">
        <w:rPr>
          <w:lang w:val="en-GB"/>
        </w:rPr>
        <w:t>Sortino</w:t>
      </w:r>
      <w:proofErr w:type="spellEnd"/>
      <w:r w:rsidRPr="0045262F">
        <w:rPr>
          <w:lang w:val="en-GB"/>
        </w:rPr>
        <w:t xml:space="preserve"> ratio. Downside-risk behaviour was assessed using </w:t>
      </w:r>
      <w:proofErr w:type="spellStart"/>
      <w:r w:rsidRPr="0045262F">
        <w:rPr>
          <w:lang w:val="en-GB"/>
        </w:rPr>
        <w:t>VaR</w:t>
      </w:r>
      <w:proofErr w:type="spellEnd"/>
      <w:r w:rsidRPr="0045262F">
        <w:rPr>
          <w:lang w:val="en-GB"/>
        </w:rPr>
        <w:t xml:space="preserve">, </w:t>
      </w:r>
      <w:proofErr w:type="spellStart"/>
      <w:r w:rsidRPr="0045262F">
        <w:rPr>
          <w:lang w:val="en-GB"/>
        </w:rPr>
        <w:t>CVaR</w:t>
      </w:r>
      <w:proofErr w:type="spellEnd"/>
      <w:r w:rsidRPr="0045262F">
        <w:rPr>
          <w:lang w:val="en-GB"/>
        </w:rPr>
        <w:t xml:space="preserve">, and maximum drawdown. These measures were selected because the hypothesis did not claim that </w:t>
      </w:r>
      <w:proofErr w:type="spellStart"/>
      <w:r w:rsidRPr="0045262F">
        <w:rPr>
          <w:lang w:val="en-GB"/>
        </w:rPr>
        <w:t>CVaR</w:t>
      </w:r>
      <w:proofErr w:type="spellEnd"/>
      <w:r w:rsidRPr="0045262F">
        <w:rPr>
          <w:lang w:val="en-GB"/>
        </w:rPr>
        <w:t>-minimisation would maximise return; rather, it tested whether downside-risk control could be improved without materially worsening return-based performance.</w:t>
      </w:r>
    </w:p>
    <w:p w14:paraId="01190811" w14:textId="1D49865A" w:rsidR="0045262F" w:rsidRDefault="00F314EB" w:rsidP="00AF4329">
      <w:pPr>
        <w:spacing w:before="80" w:after="60" w:line="259" w:lineRule="auto"/>
      </w:pPr>
      <w:r w:rsidRPr="00F314EB">
        <w:t xml:space="preserve">The analysis was primarily comparative. The EW, MV, and </w:t>
      </w:r>
      <w:proofErr w:type="spellStart"/>
      <w:r w:rsidRPr="00F314EB">
        <w:t>CVaR</w:t>
      </w:r>
      <w:proofErr w:type="spellEnd"/>
      <w:r w:rsidRPr="00F314EB">
        <w:t xml:space="preserve"> portfolios </w:t>
      </w:r>
      <w:proofErr w:type="gramStart"/>
      <w:r w:rsidRPr="00F314EB">
        <w:t>were compared</w:t>
      </w:r>
      <w:proofErr w:type="gramEnd"/>
      <w:r w:rsidRPr="00F314EB">
        <w:t xml:space="preserve"> under the same dataset, constraints, and </w:t>
      </w:r>
      <w:proofErr w:type="spellStart"/>
      <w:r w:rsidRPr="00F314EB">
        <w:t>backtesting</w:t>
      </w:r>
      <w:proofErr w:type="spellEnd"/>
      <w:r w:rsidRPr="00F314EB">
        <w:t xml:space="preserve"> logic, and the resulting metrics were interpreted relative to the hypothesis and to the benchmark-comparison designs discussed in Section II. This approach was consistent with the assignment guidance that findings should later </w:t>
      </w:r>
      <w:proofErr w:type="gramStart"/>
      <w:r w:rsidRPr="00F314EB">
        <w:t>be discussed</w:t>
      </w:r>
      <w:proofErr w:type="gramEnd"/>
      <w:r w:rsidRPr="00F314EB">
        <w:t xml:space="preserve"> honestly and compared with existing research rather than being presented as a perfect or universal solution.</w:t>
      </w:r>
    </w:p>
    <w:p w14:paraId="5EAD0DB8" w14:textId="77777777" w:rsidR="00655A60" w:rsidRPr="00655A60" w:rsidRDefault="00655A60" w:rsidP="00655A60">
      <w:pPr>
        <w:spacing w:before="80" w:after="60" w:line="259" w:lineRule="auto"/>
        <w:rPr>
          <w:b/>
          <w:bCs/>
          <w:lang w:val="en-GB"/>
        </w:rPr>
      </w:pPr>
      <w:r w:rsidRPr="00655A60">
        <w:rPr>
          <w:b/>
          <w:bCs/>
          <w:lang w:val="en-GB"/>
        </w:rPr>
        <w:t>F. Validity, Reliability, Generalisability, Limitations, and Ethical Considerations</w:t>
      </w:r>
    </w:p>
    <w:p w14:paraId="2FF42D2D" w14:textId="77777777" w:rsidR="00655A60" w:rsidRPr="00655A60" w:rsidRDefault="00655A60" w:rsidP="00655A60">
      <w:pPr>
        <w:spacing w:before="80" w:after="60" w:line="259" w:lineRule="auto"/>
        <w:rPr>
          <w:lang w:val="en-GB"/>
        </w:rPr>
      </w:pPr>
      <w:r w:rsidRPr="00655A60">
        <w:rPr>
          <w:lang w:val="en-GB"/>
        </w:rPr>
        <w:t xml:space="preserve">The validity of the study was strengthened by the controlled design. All three portfolio rules were tested on the same ETF basket, over the same time horizon, using the same adjusted-price treatment, date alignment, and investment constraints. The main intentional source of variation was therefore the portfolio-construction rule itself. Reliability was supported through the use of fixed procedures for data preparation, return calculation, portfolio construction, and </w:t>
      </w:r>
      <w:proofErr w:type="spellStart"/>
      <w:r w:rsidRPr="00655A60">
        <w:rPr>
          <w:lang w:val="en-GB"/>
        </w:rPr>
        <w:t>backtesting</w:t>
      </w:r>
      <w:proofErr w:type="spellEnd"/>
      <w:r w:rsidRPr="00655A60">
        <w:rPr>
          <w:lang w:val="en-GB"/>
        </w:rPr>
        <w:t xml:space="preserve">, together with local storage of the downloaded data for reproducibility. However, the generalisability of the findings remained bounded by the specific six-ETF UCITS basket, the 2016–2025 period, and the long-only fully invested framework used in the study. </w:t>
      </w:r>
    </w:p>
    <w:p w14:paraId="4575EF50" w14:textId="77777777" w:rsidR="00655A60" w:rsidRPr="00655A60" w:rsidRDefault="00655A60" w:rsidP="00655A60">
      <w:pPr>
        <w:spacing w:before="80" w:after="60" w:line="259" w:lineRule="auto"/>
        <w:rPr>
          <w:lang w:val="en-GB"/>
        </w:rPr>
      </w:pPr>
      <w:r w:rsidRPr="00655A60">
        <w:rPr>
          <w:lang w:val="en-GB"/>
        </w:rPr>
        <w:lastRenderedPageBreak/>
        <w:t xml:space="preserve">The study also had several limitations. First, it relied on a relatively small and intentionally transparent ETF universe rather than a large institutional asset set. Second, portfolio outcomes depended on historical market behaviour and therefore could not guarantee future performance. Third, the </w:t>
      </w:r>
      <w:proofErr w:type="spellStart"/>
      <w:r w:rsidRPr="00655A60">
        <w:rPr>
          <w:lang w:val="en-GB"/>
        </w:rPr>
        <w:t>backtest</w:t>
      </w:r>
      <w:proofErr w:type="spellEnd"/>
      <w:r w:rsidRPr="00655A60">
        <w:rPr>
          <w:lang w:val="en-GB"/>
        </w:rPr>
        <w:t xml:space="preserve"> was based on market-price data and did not attempt to model every real-world friction in depth, such as taxes or all trading frictions. These limitations do not invalidate the study, but they do define the scope within which its conclusions should be interpreted. </w:t>
      </w:r>
    </w:p>
    <w:p w14:paraId="3BF036ED" w14:textId="62560EA0" w:rsidR="00655A60" w:rsidRDefault="00655A60" w:rsidP="00AF4329">
      <w:pPr>
        <w:spacing w:before="80" w:after="60" w:line="259" w:lineRule="auto"/>
        <w:rPr>
          <w:lang w:val="en-GB"/>
        </w:rPr>
      </w:pPr>
      <w:r w:rsidRPr="00655A60">
        <w:rPr>
          <w:lang w:val="en-GB"/>
        </w:rPr>
        <w:t>Finally, the study raised minimal ethical risk because it used secondary historical financial data and did not involve human participants, interviews, surveys, or personal data. The main ethical obligations were therefore academic honesty, correct citation, transparent reporting of the method, and accurate acknowledgment of the data source and implementation choices.</w:t>
      </w:r>
    </w:p>
    <w:p w14:paraId="05F53C91" w14:textId="77777777" w:rsidR="004C35EF" w:rsidRPr="00655A60" w:rsidRDefault="004C35EF" w:rsidP="00AF4329">
      <w:pPr>
        <w:spacing w:before="80" w:after="60" w:line="259" w:lineRule="auto"/>
        <w:rPr>
          <w:lang w:val="en-GB"/>
        </w:rPr>
      </w:pPr>
    </w:p>
    <w:p w14:paraId="4D754241" w14:textId="569D5DD0" w:rsidR="007D3B54" w:rsidRDefault="004C35EF" w:rsidP="00AF4329">
      <w:pPr>
        <w:spacing w:before="80" w:after="60" w:line="259" w:lineRule="auto"/>
        <w:rPr>
          <w:b/>
          <w:bCs/>
        </w:rPr>
      </w:pPr>
      <w:r w:rsidRPr="004C35EF">
        <w:rPr>
          <w:b/>
          <w:bCs/>
        </w:rPr>
        <w:t>IV. FINDINGS &amp; DISCUSSION OF RESULTS</w:t>
      </w:r>
    </w:p>
    <w:p w14:paraId="6A6C7205" w14:textId="77777777" w:rsidR="00EB10C2" w:rsidRPr="004C35EF" w:rsidRDefault="00EB10C2" w:rsidP="00AF4329">
      <w:pPr>
        <w:spacing w:before="80" w:after="60" w:line="259" w:lineRule="auto"/>
        <w:rPr>
          <w:b/>
          <w:bCs/>
        </w:rPr>
      </w:pPr>
    </w:p>
    <w:p w14:paraId="55192E89" w14:textId="7D2FBAD6" w:rsidR="004C35EF" w:rsidRPr="004C35EF" w:rsidRDefault="004C35EF" w:rsidP="004C35EF">
      <w:pPr>
        <w:pStyle w:val="ListParagraph"/>
        <w:numPr>
          <w:ilvl w:val="0"/>
          <w:numId w:val="18"/>
        </w:numPr>
        <w:spacing w:before="80" w:after="60" w:line="259" w:lineRule="auto"/>
        <w:rPr>
          <w:b/>
          <w:bCs/>
          <w:lang w:val="en-GB"/>
        </w:rPr>
      </w:pPr>
      <w:r w:rsidRPr="004C35EF">
        <w:rPr>
          <w:b/>
          <w:bCs/>
          <w:lang w:val="en-GB"/>
        </w:rPr>
        <w:t>Overview</w:t>
      </w:r>
    </w:p>
    <w:p w14:paraId="5907FD73" w14:textId="77777777" w:rsidR="004C35EF" w:rsidRDefault="004C35EF" w:rsidP="004C35EF">
      <w:pPr>
        <w:pStyle w:val="font-claude-response-body"/>
      </w:pPr>
      <w:r>
        <w:t xml:space="preserve">Section IV presents the out-of-sample results for the three portfolio strategies examined in this study: Equal-Weight, Minimum-Variance, and </w:t>
      </w:r>
      <w:proofErr w:type="spellStart"/>
      <w:r>
        <w:t>CVaR</w:t>
      </w:r>
      <w:proofErr w:type="spellEnd"/>
      <w:r>
        <w:t xml:space="preserve">-minimisation at the 95% confidence level. Results are evaluated using the seven metrics defined in Section III as the dependent variables for testing the main hypothesis, namely CAGR, annualised volatility, Sharpe ratio, </w:t>
      </w:r>
      <w:proofErr w:type="spellStart"/>
      <w:r>
        <w:t>Sortino</w:t>
      </w:r>
      <w:proofErr w:type="spellEnd"/>
      <w:r>
        <w:t xml:space="preserve"> ratio, </w:t>
      </w:r>
      <w:proofErr w:type="spellStart"/>
      <w:r>
        <w:t>VaR</w:t>
      </w:r>
      <w:proofErr w:type="spellEnd"/>
      <w:r>
        <w:t xml:space="preserve">, </w:t>
      </w:r>
      <w:proofErr w:type="spellStart"/>
      <w:r>
        <w:t>CVaR</w:t>
      </w:r>
      <w:proofErr w:type="spellEnd"/>
      <w:r>
        <w:t>, and maximum drawdown. Section IV.B reports the headline return and risk-adjusted performance of each strategy. Section IV.C then examines the downside-risk metrics directly relevant to the hypothesis. Section IV.D analyses the weight allocation patterns that underpin the observed performance outcomes. Section IV.E presents three sensitivity experiments to assess the robustness of the baseline findings. Section IV.F synthesises the results in relation to the main hypothesis, the reviewed literature, and the validity, reliability, and generalisability of the study.</w:t>
      </w:r>
    </w:p>
    <w:p w14:paraId="2277E60F" w14:textId="3A6515F3" w:rsidR="00EB10C2" w:rsidRPr="00E1478B" w:rsidRDefault="00E1478B" w:rsidP="00E1478B">
      <w:pPr>
        <w:pStyle w:val="font-claude-response-body"/>
        <w:numPr>
          <w:ilvl w:val="0"/>
          <w:numId w:val="18"/>
        </w:numPr>
        <w:rPr>
          <w:b/>
          <w:bCs/>
        </w:rPr>
      </w:pPr>
      <w:r w:rsidRPr="00E1478B">
        <w:rPr>
          <w:b/>
          <w:bCs/>
        </w:rPr>
        <w:t>Return and risk-adjusted metrics</w:t>
      </w:r>
    </w:p>
    <w:p w14:paraId="4D590309" w14:textId="4B2DA515" w:rsidR="004C35EF" w:rsidRDefault="00437350" w:rsidP="004C35EF">
      <w:pPr>
        <w:spacing w:before="80" w:after="60" w:line="259" w:lineRule="auto"/>
      </w:pPr>
      <w:r w:rsidRPr="00437350">
        <w:t xml:space="preserve">Table </w:t>
      </w:r>
      <w:r w:rsidR="006F3783">
        <w:t>2</w:t>
      </w:r>
      <w:r w:rsidRPr="00437350">
        <w:t xml:space="preserve"> </w:t>
      </w:r>
      <w:proofErr w:type="spellStart"/>
      <w:r w:rsidRPr="00437350">
        <w:t>summarises</w:t>
      </w:r>
      <w:proofErr w:type="spellEnd"/>
      <w:r w:rsidRPr="00437350">
        <w:t xml:space="preserve"> the out-of-sample performance of the three portfolio strategies over the 2017–2025 </w:t>
      </w:r>
      <w:proofErr w:type="spellStart"/>
      <w:r w:rsidRPr="00437350">
        <w:t>realised</w:t>
      </w:r>
      <w:proofErr w:type="spellEnd"/>
      <w:r w:rsidRPr="00437350">
        <w:t xml:space="preserve"> evaluation period. Although the full dataset covers 2016–2025, the first 252 trading days </w:t>
      </w:r>
      <w:proofErr w:type="gramStart"/>
      <w:r w:rsidRPr="00437350">
        <w:t>were used</w:t>
      </w:r>
      <w:proofErr w:type="gramEnd"/>
      <w:r w:rsidRPr="00437350">
        <w:t xml:space="preserve"> </w:t>
      </w:r>
      <w:r w:rsidRPr="00437350">
        <w:t xml:space="preserve">as the initial estimation window, meaning that reported portfolio outcomes begin after this first in-sample window. The table therefore reports only </w:t>
      </w:r>
      <w:proofErr w:type="spellStart"/>
      <w:r w:rsidRPr="00437350">
        <w:t>realised</w:t>
      </w:r>
      <w:proofErr w:type="spellEnd"/>
      <w:r w:rsidRPr="00437350">
        <w:t xml:space="preserve"> out-of-sample results.</w:t>
      </w:r>
    </w:p>
    <w:p w14:paraId="61A7D403" w14:textId="77777777" w:rsidR="00437350" w:rsidRDefault="00437350" w:rsidP="004C35EF">
      <w:pPr>
        <w:spacing w:before="80" w:after="60" w:line="259" w:lineRule="auto"/>
      </w:pPr>
    </w:p>
    <w:p w14:paraId="25B8327E" w14:textId="6E9E7A1D" w:rsidR="00437350" w:rsidRPr="00437350" w:rsidRDefault="00437350" w:rsidP="00437350">
      <w:pPr>
        <w:spacing w:before="80" w:after="60" w:line="259" w:lineRule="auto"/>
        <w:rPr>
          <w:lang w:val="en-GB"/>
        </w:rPr>
      </w:pPr>
      <w:r w:rsidRPr="00437350">
        <w:rPr>
          <w:lang w:val="en-GB"/>
        </w:rPr>
        <w:t xml:space="preserve">TABLE </w:t>
      </w:r>
      <w:r w:rsidR="005C1039">
        <w:rPr>
          <w:lang w:val="en-GB"/>
        </w:rPr>
        <w:t>2</w:t>
      </w:r>
      <w:r w:rsidRPr="00437350">
        <w:rPr>
          <w:lang w:val="en-GB"/>
        </w:rPr>
        <w:br/>
        <w:t>OUT-OF-SAMPLE PERFORMANCE SUMMARY</w:t>
      </w:r>
    </w:p>
    <w:tbl>
      <w:tblPr>
        <w:tblStyle w:val="TableGrid"/>
        <w:tblW w:w="0" w:type="auto"/>
        <w:tblLook w:val="04A0" w:firstRow="1" w:lastRow="0" w:firstColumn="1" w:lastColumn="0" w:noHBand="0" w:noVBand="1"/>
      </w:tblPr>
      <w:tblGrid>
        <w:gridCol w:w="714"/>
        <w:gridCol w:w="554"/>
        <w:gridCol w:w="674"/>
        <w:gridCol w:w="566"/>
        <w:gridCol w:w="580"/>
        <w:gridCol w:w="512"/>
        <w:gridCol w:w="522"/>
        <w:gridCol w:w="757"/>
      </w:tblGrid>
      <w:tr w:rsidR="00437350" w:rsidRPr="00437350" w14:paraId="6080E613" w14:textId="77777777" w:rsidTr="00437350">
        <w:tc>
          <w:tcPr>
            <w:tcW w:w="0" w:type="auto"/>
            <w:hideMark/>
          </w:tcPr>
          <w:p w14:paraId="2675D3DB" w14:textId="77777777" w:rsidR="00437350" w:rsidRPr="00437350" w:rsidRDefault="00437350" w:rsidP="00437350">
            <w:pPr>
              <w:spacing w:before="80" w:after="60" w:line="259" w:lineRule="auto"/>
              <w:rPr>
                <w:b/>
                <w:bCs/>
                <w:lang w:val="en-GB"/>
              </w:rPr>
            </w:pPr>
            <w:r w:rsidRPr="00437350">
              <w:rPr>
                <w:b/>
                <w:bCs/>
                <w:lang w:val="en-GB"/>
              </w:rPr>
              <w:t>Strategy</w:t>
            </w:r>
          </w:p>
        </w:tc>
        <w:tc>
          <w:tcPr>
            <w:tcW w:w="0" w:type="auto"/>
            <w:hideMark/>
          </w:tcPr>
          <w:p w14:paraId="114D485C" w14:textId="77777777" w:rsidR="00437350" w:rsidRPr="00437350" w:rsidRDefault="00437350" w:rsidP="00437350">
            <w:pPr>
              <w:spacing w:before="80" w:after="60" w:line="259" w:lineRule="auto"/>
              <w:rPr>
                <w:b/>
                <w:bCs/>
                <w:lang w:val="en-GB"/>
              </w:rPr>
            </w:pPr>
            <w:r w:rsidRPr="00437350">
              <w:rPr>
                <w:b/>
                <w:bCs/>
                <w:lang w:val="en-GB"/>
              </w:rPr>
              <w:t>CAGR</w:t>
            </w:r>
          </w:p>
        </w:tc>
        <w:tc>
          <w:tcPr>
            <w:tcW w:w="0" w:type="auto"/>
            <w:hideMark/>
          </w:tcPr>
          <w:p w14:paraId="5CDDB60E" w14:textId="77777777" w:rsidR="00437350" w:rsidRPr="00437350" w:rsidRDefault="00437350" w:rsidP="00437350">
            <w:pPr>
              <w:spacing w:before="80" w:after="60" w:line="259" w:lineRule="auto"/>
              <w:rPr>
                <w:b/>
                <w:bCs/>
                <w:lang w:val="en-GB"/>
              </w:rPr>
            </w:pPr>
            <w:r w:rsidRPr="00437350">
              <w:rPr>
                <w:b/>
                <w:bCs/>
                <w:lang w:val="en-GB"/>
              </w:rPr>
              <w:t>Ann. Volatility</w:t>
            </w:r>
          </w:p>
        </w:tc>
        <w:tc>
          <w:tcPr>
            <w:tcW w:w="0" w:type="auto"/>
            <w:hideMark/>
          </w:tcPr>
          <w:p w14:paraId="409E1F9C" w14:textId="77777777" w:rsidR="00437350" w:rsidRPr="00437350" w:rsidRDefault="00437350" w:rsidP="00437350">
            <w:pPr>
              <w:spacing w:before="80" w:after="60" w:line="259" w:lineRule="auto"/>
              <w:rPr>
                <w:b/>
                <w:bCs/>
                <w:lang w:val="en-GB"/>
              </w:rPr>
            </w:pPr>
            <w:r w:rsidRPr="00437350">
              <w:rPr>
                <w:b/>
                <w:bCs/>
                <w:lang w:val="en-GB"/>
              </w:rPr>
              <w:t>Sharpe</w:t>
            </w:r>
          </w:p>
        </w:tc>
        <w:tc>
          <w:tcPr>
            <w:tcW w:w="0" w:type="auto"/>
            <w:hideMark/>
          </w:tcPr>
          <w:p w14:paraId="0D2F8C6D" w14:textId="77777777" w:rsidR="00437350" w:rsidRPr="00437350" w:rsidRDefault="00437350" w:rsidP="00437350">
            <w:pPr>
              <w:spacing w:before="80" w:after="60" w:line="259" w:lineRule="auto"/>
              <w:rPr>
                <w:b/>
                <w:bCs/>
                <w:lang w:val="en-GB"/>
              </w:rPr>
            </w:pPr>
            <w:proofErr w:type="spellStart"/>
            <w:r w:rsidRPr="00437350">
              <w:rPr>
                <w:b/>
                <w:bCs/>
                <w:lang w:val="en-GB"/>
              </w:rPr>
              <w:t>Sortino</w:t>
            </w:r>
            <w:proofErr w:type="spellEnd"/>
          </w:p>
        </w:tc>
        <w:tc>
          <w:tcPr>
            <w:tcW w:w="0" w:type="auto"/>
            <w:hideMark/>
          </w:tcPr>
          <w:p w14:paraId="742AE286" w14:textId="77777777" w:rsidR="00437350" w:rsidRPr="00437350" w:rsidRDefault="00437350" w:rsidP="00437350">
            <w:pPr>
              <w:spacing w:before="80" w:after="60" w:line="259" w:lineRule="auto"/>
              <w:rPr>
                <w:b/>
                <w:bCs/>
                <w:lang w:val="en-GB"/>
              </w:rPr>
            </w:pPr>
            <w:proofErr w:type="spellStart"/>
            <w:r w:rsidRPr="00437350">
              <w:rPr>
                <w:b/>
                <w:bCs/>
                <w:lang w:val="en-GB"/>
              </w:rPr>
              <w:t>VaR</w:t>
            </w:r>
            <w:proofErr w:type="spellEnd"/>
            <w:r w:rsidRPr="00437350">
              <w:rPr>
                <w:b/>
                <w:bCs/>
                <w:lang w:val="en-GB"/>
              </w:rPr>
              <w:t xml:space="preserve"> 95%</w:t>
            </w:r>
          </w:p>
        </w:tc>
        <w:tc>
          <w:tcPr>
            <w:tcW w:w="0" w:type="auto"/>
            <w:hideMark/>
          </w:tcPr>
          <w:p w14:paraId="2C411FF9" w14:textId="77777777" w:rsidR="00437350" w:rsidRPr="00437350" w:rsidRDefault="00437350" w:rsidP="00437350">
            <w:pPr>
              <w:spacing w:before="80" w:after="60" w:line="259" w:lineRule="auto"/>
              <w:rPr>
                <w:b/>
                <w:bCs/>
                <w:lang w:val="en-GB"/>
              </w:rPr>
            </w:pPr>
            <w:proofErr w:type="spellStart"/>
            <w:r w:rsidRPr="00437350">
              <w:rPr>
                <w:b/>
                <w:bCs/>
                <w:lang w:val="en-GB"/>
              </w:rPr>
              <w:t>CVaR</w:t>
            </w:r>
            <w:proofErr w:type="spellEnd"/>
            <w:r w:rsidRPr="00437350">
              <w:rPr>
                <w:b/>
                <w:bCs/>
                <w:lang w:val="en-GB"/>
              </w:rPr>
              <w:t xml:space="preserve"> 95%</w:t>
            </w:r>
          </w:p>
        </w:tc>
        <w:tc>
          <w:tcPr>
            <w:tcW w:w="0" w:type="auto"/>
            <w:hideMark/>
          </w:tcPr>
          <w:p w14:paraId="59745F82" w14:textId="77777777" w:rsidR="00437350" w:rsidRPr="00437350" w:rsidRDefault="00437350" w:rsidP="00437350">
            <w:pPr>
              <w:spacing w:before="80" w:after="60" w:line="259" w:lineRule="auto"/>
              <w:rPr>
                <w:b/>
                <w:bCs/>
                <w:lang w:val="en-GB"/>
              </w:rPr>
            </w:pPr>
            <w:r w:rsidRPr="00437350">
              <w:rPr>
                <w:b/>
                <w:bCs/>
                <w:lang w:val="en-GB"/>
              </w:rPr>
              <w:t>Max Drawdown</w:t>
            </w:r>
          </w:p>
        </w:tc>
      </w:tr>
      <w:tr w:rsidR="00437350" w:rsidRPr="00437350" w14:paraId="1D5E29C0" w14:textId="77777777" w:rsidTr="00437350">
        <w:tc>
          <w:tcPr>
            <w:tcW w:w="0" w:type="auto"/>
            <w:hideMark/>
          </w:tcPr>
          <w:p w14:paraId="4C075DAA" w14:textId="77777777" w:rsidR="00437350" w:rsidRPr="00437350" w:rsidRDefault="00437350" w:rsidP="00437350">
            <w:pPr>
              <w:spacing w:before="80" w:after="60" w:line="259" w:lineRule="auto"/>
              <w:rPr>
                <w:lang w:val="en-GB"/>
              </w:rPr>
            </w:pPr>
            <w:r w:rsidRPr="00437350">
              <w:rPr>
                <w:lang w:val="en-GB"/>
              </w:rPr>
              <w:t>Equal-Weight</w:t>
            </w:r>
          </w:p>
        </w:tc>
        <w:tc>
          <w:tcPr>
            <w:tcW w:w="0" w:type="auto"/>
            <w:hideMark/>
          </w:tcPr>
          <w:p w14:paraId="51A118C6" w14:textId="77777777" w:rsidR="00437350" w:rsidRPr="00437350" w:rsidRDefault="00437350" w:rsidP="00437350">
            <w:pPr>
              <w:spacing w:before="80" w:after="60" w:line="259" w:lineRule="auto"/>
              <w:rPr>
                <w:lang w:val="en-GB"/>
              </w:rPr>
            </w:pPr>
            <w:r w:rsidRPr="00437350">
              <w:rPr>
                <w:lang w:val="en-GB"/>
              </w:rPr>
              <w:t>5.74%</w:t>
            </w:r>
          </w:p>
        </w:tc>
        <w:tc>
          <w:tcPr>
            <w:tcW w:w="0" w:type="auto"/>
            <w:hideMark/>
          </w:tcPr>
          <w:p w14:paraId="2C4051DA" w14:textId="77777777" w:rsidR="00437350" w:rsidRPr="00437350" w:rsidRDefault="00437350" w:rsidP="00437350">
            <w:pPr>
              <w:spacing w:before="80" w:after="60" w:line="259" w:lineRule="auto"/>
              <w:rPr>
                <w:lang w:val="en-GB"/>
              </w:rPr>
            </w:pPr>
            <w:r w:rsidRPr="00437350">
              <w:rPr>
                <w:lang w:val="en-GB"/>
              </w:rPr>
              <w:t>10.06%</w:t>
            </w:r>
          </w:p>
        </w:tc>
        <w:tc>
          <w:tcPr>
            <w:tcW w:w="0" w:type="auto"/>
            <w:hideMark/>
          </w:tcPr>
          <w:p w14:paraId="3A90DD94" w14:textId="77777777" w:rsidR="00437350" w:rsidRPr="00437350" w:rsidRDefault="00437350" w:rsidP="00437350">
            <w:pPr>
              <w:spacing w:before="80" w:after="60" w:line="259" w:lineRule="auto"/>
              <w:rPr>
                <w:lang w:val="en-GB"/>
              </w:rPr>
            </w:pPr>
            <w:r w:rsidRPr="00437350">
              <w:rPr>
                <w:lang w:val="en-GB"/>
              </w:rPr>
              <w:t>0.555</w:t>
            </w:r>
          </w:p>
        </w:tc>
        <w:tc>
          <w:tcPr>
            <w:tcW w:w="0" w:type="auto"/>
            <w:hideMark/>
          </w:tcPr>
          <w:p w14:paraId="6291583F" w14:textId="77777777" w:rsidR="00437350" w:rsidRPr="00437350" w:rsidRDefault="00437350" w:rsidP="00437350">
            <w:pPr>
              <w:spacing w:before="80" w:after="60" w:line="259" w:lineRule="auto"/>
              <w:rPr>
                <w:lang w:val="en-GB"/>
              </w:rPr>
            </w:pPr>
            <w:r w:rsidRPr="00437350">
              <w:rPr>
                <w:lang w:val="en-GB"/>
              </w:rPr>
              <w:t>0.741</w:t>
            </w:r>
          </w:p>
        </w:tc>
        <w:tc>
          <w:tcPr>
            <w:tcW w:w="0" w:type="auto"/>
            <w:hideMark/>
          </w:tcPr>
          <w:p w14:paraId="7CF34EC9" w14:textId="77777777" w:rsidR="00437350" w:rsidRPr="00437350" w:rsidRDefault="00437350" w:rsidP="00437350">
            <w:pPr>
              <w:spacing w:before="80" w:after="60" w:line="259" w:lineRule="auto"/>
              <w:rPr>
                <w:lang w:val="en-GB"/>
              </w:rPr>
            </w:pPr>
            <w:r w:rsidRPr="00437350">
              <w:rPr>
                <w:lang w:val="en-GB"/>
              </w:rPr>
              <w:t>0.95%</w:t>
            </w:r>
          </w:p>
        </w:tc>
        <w:tc>
          <w:tcPr>
            <w:tcW w:w="0" w:type="auto"/>
            <w:hideMark/>
          </w:tcPr>
          <w:p w14:paraId="1D22766C" w14:textId="77777777" w:rsidR="00437350" w:rsidRPr="00437350" w:rsidRDefault="00437350" w:rsidP="00437350">
            <w:pPr>
              <w:spacing w:before="80" w:after="60" w:line="259" w:lineRule="auto"/>
              <w:rPr>
                <w:lang w:val="en-GB"/>
              </w:rPr>
            </w:pPr>
            <w:r w:rsidRPr="00437350">
              <w:rPr>
                <w:lang w:val="en-GB"/>
              </w:rPr>
              <w:t>1.56%</w:t>
            </w:r>
          </w:p>
        </w:tc>
        <w:tc>
          <w:tcPr>
            <w:tcW w:w="0" w:type="auto"/>
            <w:hideMark/>
          </w:tcPr>
          <w:p w14:paraId="4E25DB62" w14:textId="77777777" w:rsidR="00437350" w:rsidRPr="00437350" w:rsidRDefault="00437350" w:rsidP="00437350">
            <w:pPr>
              <w:spacing w:before="80" w:after="60" w:line="259" w:lineRule="auto"/>
              <w:rPr>
                <w:lang w:val="en-GB"/>
              </w:rPr>
            </w:pPr>
            <w:r w:rsidRPr="00437350">
              <w:rPr>
                <w:lang w:val="en-GB"/>
              </w:rPr>
              <w:t>-22.02%</w:t>
            </w:r>
          </w:p>
        </w:tc>
      </w:tr>
      <w:tr w:rsidR="00437350" w:rsidRPr="00437350" w14:paraId="4983DDAC" w14:textId="77777777" w:rsidTr="00437350">
        <w:tc>
          <w:tcPr>
            <w:tcW w:w="0" w:type="auto"/>
            <w:hideMark/>
          </w:tcPr>
          <w:p w14:paraId="40747AD9" w14:textId="77777777" w:rsidR="00437350" w:rsidRPr="00437350" w:rsidRDefault="00437350" w:rsidP="00437350">
            <w:pPr>
              <w:spacing w:before="80" w:after="60" w:line="259" w:lineRule="auto"/>
              <w:rPr>
                <w:lang w:val="en-GB"/>
              </w:rPr>
            </w:pPr>
            <w:r w:rsidRPr="00437350">
              <w:rPr>
                <w:lang w:val="en-GB"/>
              </w:rPr>
              <w:t>Minimum-Variance</w:t>
            </w:r>
          </w:p>
        </w:tc>
        <w:tc>
          <w:tcPr>
            <w:tcW w:w="0" w:type="auto"/>
            <w:hideMark/>
          </w:tcPr>
          <w:p w14:paraId="4F99B757" w14:textId="77777777" w:rsidR="00437350" w:rsidRPr="00437350" w:rsidRDefault="00437350" w:rsidP="00437350">
            <w:pPr>
              <w:spacing w:before="80" w:after="60" w:line="259" w:lineRule="auto"/>
              <w:rPr>
                <w:lang w:val="en-GB"/>
              </w:rPr>
            </w:pPr>
            <w:r w:rsidRPr="00437350">
              <w:rPr>
                <w:lang w:val="en-GB"/>
              </w:rPr>
              <w:t>1.61%</w:t>
            </w:r>
          </w:p>
        </w:tc>
        <w:tc>
          <w:tcPr>
            <w:tcW w:w="0" w:type="auto"/>
            <w:hideMark/>
          </w:tcPr>
          <w:p w14:paraId="571B5CA5" w14:textId="77777777" w:rsidR="00437350" w:rsidRPr="00437350" w:rsidRDefault="00437350" w:rsidP="00437350">
            <w:pPr>
              <w:spacing w:before="80" w:after="60" w:line="259" w:lineRule="auto"/>
              <w:rPr>
                <w:lang w:val="en-GB"/>
              </w:rPr>
            </w:pPr>
            <w:r w:rsidRPr="00437350">
              <w:rPr>
                <w:lang w:val="en-GB"/>
              </w:rPr>
              <w:t>5.59%</w:t>
            </w:r>
          </w:p>
        </w:tc>
        <w:tc>
          <w:tcPr>
            <w:tcW w:w="0" w:type="auto"/>
            <w:hideMark/>
          </w:tcPr>
          <w:p w14:paraId="4FBE1030" w14:textId="77777777" w:rsidR="00437350" w:rsidRPr="00437350" w:rsidRDefault="00437350" w:rsidP="00437350">
            <w:pPr>
              <w:spacing w:before="80" w:after="60" w:line="259" w:lineRule="auto"/>
              <w:rPr>
                <w:lang w:val="en-GB"/>
              </w:rPr>
            </w:pPr>
            <w:r w:rsidRPr="00437350">
              <w:rPr>
                <w:lang w:val="en-GB"/>
              </w:rPr>
              <w:t>0.286</w:t>
            </w:r>
          </w:p>
        </w:tc>
        <w:tc>
          <w:tcPr>
            <w:tcW w:w="0" w:type="auto"/>
            <w:hideMark/>
          </w:tcPr>
          <w:p w14:paraId="497FF101" w14:textId="77777777" w:rsidR="00437350" w:rsidRPr="00437350" w:rsidRDefault="00437350" w:rsidP="00437350">
            <w:pPr>
              <w:spacing w:before="80" w:after="60" w:line="259" w:lineRule="auto"/>
              <w:rPr>
                <w:lang w:val="en-GB"/>
              </w:rPr>
            </w:pPr>
            <w:r w:rsidRPr="00437350">
              <w:rPr>
                <w:lang w:val="en-GB"/>
              </w:rPr>
              <w:t>0.392</w:t>
            </w:r>
          </w:p>
        </w:tc>
        <w:tc>
          <w:tcPr>
            <w:tcW w:w="0" w:type="auto"/>
            <w:hideMark/>
          </w:tcPr>
          <w:p w14:paraId="4C4D9EF6" w14:textId="77777777" w:rsidR="00437350" w:rsidRPr="00437350" w:rsidRDefault="00437350" w:rsidP="00437350">
            <w:pPr>
              <w:spacing w:before="80" w:after="60" w:line="259" w:lineRule="auto"/>
              <w:rPr>
                <w:lang w:val="en-GB"/>
              </w:rPr>
            </w:pPr>
            <w:r w:rsidRPr="00437350">
              <w:rPr>
                <w:lang w:val="en-GB"/>
              </w:rPr>
              <w:t>0.55%</w:t>
            </w:r>
          </w:p>
        </w:tc>
        <w:tc>
          <w:tcPr>
            <w:tcW w:w="0" w:type="auto"/>
            <w:hideMark/>
          </w:tcPr>
          <w:p w14:paraId="58D816E9" w14:textId="77777777" w:rsidR="00437350" w:rsidRPr="00437350" w:rsidRDefault="00437350" w:rsidP="00437350">
            <w:pPr>
              <w:spacing w:before="80" w:after="60" w:line="259" w:lineRule="auto"/>
              <w:rPr>
                <w:lang w:val="en-GB"/>
              </w:rPr>
            </w:pPr>
            <w:r w:rsidRPr="00437350">
              <w:rPr>
                <w:lang w:val="en-GB"/>
              </w:rPr>
              <w:t>0.84%</w:t>
            </w:r>
          </w:p>
        </w:tc>
        <w:tc>
          <w:tcPr>
            <w:tcW w:w="0" w:type="auto"/>
            <w:hideMark/>
          </w:tcPr>
          <w:p w14:paraId="74F3D6C9" w14:textId="77777777" w:rsidR="00437350" w:rsidRPr="00437350" w:rsidRDefault="00437350" w:rsidP="00437350">
            <w:pPr>
              <w:spacing w:before="80" w:after="60" w:line="259" w:lineRule="auto"/>
              <w:rPr>
                <w:lang w:val="en-GB"/>
              </w:rPr>
            </w:pPr>
            <w:r w:rsidRPr="00437350">
              <w:rPr>
                <w:lang w:val="en-GB"/>
              </w:rPr>
              <w:t>-17.13%</w:t>
            </w:r>
          </w:p>
        </w:tc>
      </w:tr>
      <w:tr w:rsidR="00437350" w:rsidRPr="00437350" w14:paraId="6EDE495D" w14:textId="77777777" w:rsidTr="00437350">
        <w:tc>
          <w:tcPr>
            <w:tcW w:w="0" w:type="auto"/>
            <w:hideMark/>
          </w:tcPr>
          <w:p w14:paraId="62DBE4AD" w14:textId="77777777" w:rsidR="00437350" w:rsidRPr="00437350" w:rsidRDefault="00437350" w:rsidP="00437350">
            <w:pPr>
              <w:spacing w:before="80" w:after="60" w:line="259" w:lineRule="auto"/>
              <w:rPr>
                <w:lang w:val="en-GB"/>
              </w:rPr>
            </w:pPr>
            <w:r w:rsidRPr="00437350">
              <w:rPr>
                <w:lang w:val="en-GB"/>
              </w:rPr>
              <w:t>CVaR-95</w:t>
            </w:r>
          </w:p>
        </w:tc>
        <w:tc>
          <w:tcPr>
            <w:tcW w:w="0" w:type="auto"/>
            <w:hideMark/>
          </w:tcPr>
          <w:p w14:paraId="28E0AED8" w14:textId="77777777" w:rsidR="00437350" w:rsidRPr="00437350" w:rsidRDefault="00437350" w:rsidP="00437350">
            <w:pPr>
              <w:spacing w:before="80" w:after="60" w:line="259" w:lineRule="auto"/>
              <w:rPr>
                <w:lang w:val="en-GB"/>
              </w:rPr>
            </w:pPr>
            <w:r w:rsidRPr="00437350">
              <w:rPr>
                <w:lang w:val="en-GB"/>
              </w:rPr>
              <w:t>0.76%</w:t>
            </w:r>
          </w:p>
        </w:tc>
        <w:tc>
          <w:tcPr>
            <w:tcW w:w="0" w:type="auto"/>
            <w:hideMark/>
          </w:tcPr>
          <w:p w14:paraId="4EA060D2" w14:textId="77777777" w:rsidR="00437350" w:rsidRPr="00437350" w:rsidRDefault="00437350" w:rsidP="00437350">
            <w:pPr>
              <w:spacing w:before="80" w:after="60" w:line="259" w:lineRule="auto"/>
              <w:rPr>
                <w:lang w:val="en-GB"/>
              </w:rPr>
            </w:pPr>
            <w:r w:rsidRPr="00437350">
              <w:rPr>
                <w:lang w:val="en-GB"/>
              </w:rPr>
              <w:t>5.46%</w:t>
            </w:r>
          </w:p>
        </w:tc>
        <w:tc>
          <w:tcPr>
            <w:tcW w:w="0" w:type="auto"/>
            <w:hideMark/>
          </w:tcPr>
          <w:p w14:paraId="79AF35A6" w14:textId="77777777" w:rsidR="00437350" w:rsidRPr="00437350" w:rsidRDefault="00437350" w:rsidP="00437350">
            <w:pPr>
              <w:spacing w:before="80" w:after="60" w:line="259" w:lineRule="auto"/>
              <w:rPr>
                <w:lang w:val="en-GB"/>
              </w:rPr>
            </w:pPr>
            <w:r w:rsidRPr="00437350">
              <w:rPr>
                <w:lang w:val="en-GB"/>
              </w:rPr>
              <w:t>0.138</w:t>
            </w:r>
          </w:p>
        </w:tc>
        <w:tc>
          <w:tcPr>
            <w:tcW w:w="0" w:type="auto"/>
            <w:hideMark/>
          </w:tcPr>
          <w:p w14:paraId="51AA0795" w14:textId="77777777" w:rsidR="00437350" w:rsidRPr="00437350" w:rsidRDefault="00437350" w:rsidP="00437350">
            <w:pPr>
              <w:spacing w:before="80" w:after="60" w:line="259" w:lineRule="auto"/>
              <w:rPr>
                <w:lang w:val="en-GB"/>
              </w:rPr>
            </w:pPr>
            <w:r w:rsidRPr="00437350">
              <w:rPr>
                <w:lang w:val="en-GB"/>
              </w:rPr>
              <w:t>0.191</w:t>
            </w:r>
          </w:p>
        </w:tc>
        <w:tc>
          <w:tcPr>
            <w:tcW w:w="0" w:type="auto"/>
            <w:hideMark/>
          </w:tcPr>
          <w:p w14:paraId="02F1B6B9" w14:textId="77777777" w:rsidR="00437350" w:rsidRPr="00437350" w:rsidRDefault="00437350" w:rsidP="00437350">
            <w:pPr>
              <w:spacing w:before="80" w:after="60" w:line="259" w:lineRule="auto"/>
              <w:rPr>
                <w:lang w:val="en-GB"/>
              </w:rPr>
            </w:pPr>
            <w:r w:rsidRPr="00437350">
              <w:rPr>
                <w:lang w:val="en-GB"/>
              </w:rPr>
              <w:t>0.54%</w:t>
            </w:r>
          </w:p>
        </w:tc>
        <w:tc>
          <w:tcPr>
            <w:tcW w:w="0" w:type="auto"/>
            <w:hideMark/>
          </w:tcPr>
          <w:p w14:paraId="0DFB97A6" w14:textId="77777777" w:rsidR="00437350" w:rsidRPr="00437350" w:rsidRDefault="00437350" w:rsidP="00437350">
            <w:pPr>
              <w:spacing w:before="80" w:after="60" w:line="259" w:lineRule="auto"/>
              <w:rPr>
                <w:lang w:val="en-GB"/>
              </w:rPr>
            </w:pPr>
            <w:r w:rsidRPr="00437350">
              <w:rPr>
                <w:lang w:val="en-GB"/>
              </w:rPr>
              <w:t>0.82%</w:t>
            </w:r>
          </w:p>
        </w:tc>
        <w:tc>
          <w:tcPr>
            <w:tcW w:w="0" w:type="auto"/>
            <w:hideMark/>
          </w:tcPr>
          <w:p w14:paraId="07F576E1" w14:textId="77777777" w:rsidR="00437350" w:rsidRPr="00437350" w:rsidRDefault="00437350" w:rsidP="00437350">
            <w:pPr>
              <w:spacing w:before="80" w:after="60" w:line="259" w:lineRule="auto"/>
              <w:rPr>
                <w:lang w:val="en-GB"/>
              </w:rPr>
            </w:pPr>
            <w:r w:rsidRPr="00437350">
              <w:rPr>
                <w:lang w:val="en-GB"/>
              </w:rPr>
              <w:t>-20.55%</w:t>
            </w:r>
          </w:p>
        </w:tc>
      </w:tr>
    </w:tbl>
    <w:p w14:paraId="57E89F21" w14:textId="77777777" w:rsidR="005B7F38" w:rsidRDefault="005B7F38" w:rsidP="004C35EF">
      <w:pPr>
        <w:spacing w:before="80" w:after="60" w:line="259" w:lineRule="auto"/>
      </w:pPr>
    </w:p>
    <w:p w14:paraId="7C580371" w14:textId="5883EB59" w:rsidR="00437350" w:rsidRDefault="00F219FF" w:rsidP="004C35EF">
      <w:pPr>
        <w:spacing w:before="80" w:after="60" w:line="259" w:lineRule="auto"/>
      </w:pPr>
      <w:r w:rsidRPr="00F219FF">
        <w:t>[Insert Fig. 4 here]</w:t>
      </w:r>
    </w:p>
    <w:p w14:paraId="675C116A" w14:textId="20B8CB7C" w:rsidR="00F219FF" w:rsidRDefault="00F219FF" w:rsidP="004C35EF">
      <w:pPr>
        <w:spacing w:before="80" w:after="60" w:line="259" w:lineRule="auto"/>
      </w:pPr>
      <w:r w:rsidRPr="00F219FF">
        <w:t xml:space="preserve">Fig. 4. </w:t>
      </w:r>
      <w:r w:rsidRPr="00F219FF">
        <w:rPr>
          <w:i/>
          <w:iCs/>
          <w:sz w:val="16"/>
          <w:szCs w:val="16"/>
        </w:rPr>
        <w:t xml:space="preserve">Cumulative equity curves for Equal-Weight, Minimum-Variance, and CVaR-95 portfolios over the </w:t>
      </w:r>
      <w:proofErr w:type="spellStart"/>
      <w:r w:rsidRPr="00F219FF">
        <w:rPr>
          <w:i/>
          <w:iCs/>
          <w:sz w:val="16"/>
          <w:szCs w:val="16"/>
        </w:rPr>
        <w:t>realised</w:t>
      </w:r>
      <w:proofErr w:type="spellEnd"/>
      <w:r w:rsidRPr="00F219FF">
        <w:rPr>
          <w:i/>
          <w:iCs/>
          <w:sz w:val="16"/>
          <w:szCs w:val="16"/>
        </w:rPr>
        <w:t xml:space="preserve"> out-of-sample evaluation period.</w:t>
      </w:r>
    </w:p>
    <w:p w14:paraId="214E93C4" w14:textId="6CB317C0" w:rsidR="00C235CC" w:rsidRDefault="00437350" w:rsidP="00437350">
      <w:pPr>
        <w:spacing w:before="80" w:after="60" w:line="259" w:lineRule="auto"/>
        <w:rPr>
          <w:lang w:val="en-GB"/>
        </w:rPr>
      </w:pPr>
      <w:r w:rsidRPr="00437350">
        <w:rPr>
          <w:lang w:val="en-GB"/>
        </w:rPr>
        <w:t xml:space="preserve">The main return-based result is that Equal-Weight produced the strongest performance among the three strategies. It achieved the highest CAGR at 5.74%, compared with 1.61% for Minimum-Variance and 0.76% for CVaR-95. It also recorded the highest Sharpe ratio of 0.555 and the highest </w:t>
      </w:r>
      <w:proofErr w:type="spellStart"/>
      <w:r w:rsidRPr="00437350">
        <w:rPr>
          <w:lang w:val="en-GB"/>
        </w:rPr>
        <w:t>Sortino</w:t>
      </w:r>
      <w:proofErr w:type="spellEnd"/>
      <w:r w:rsidRPr="00437350">
        <w:rPr>
          <w:lang w:val="en-GB"/>
        </w:rPr>
        <w:t xml:space="preserve"> ratio of 0.741. This indicates that Equal-Weight did not only deliver the highest return, but also the strongest conventional risk-adjusted performance in this sample. This result is also visible in Fig. </w:t>
      </w:r>
      <w:r w:rsidR="00E30580">
        <w:rPr>
          <w:lang w:val="en-GB"/>
        </w:rPr>
        <w:t>4</w:t>
      </w:r>
      <w:r w:rsidRPr="00437350">
        <w:rPr>
          <w:lang w:val="en-GB"/>
        </w:rPr>
        <w:t xml:space="preserve">, where the Equal-Weight cumulative equity curve finishes above the two optimised portfolios. </w:t>
      </w:r>
      <w:r w:rsidR="00F41440" w:rsidRPr="00F41440">
        <w:t>The supporting metrics comparison chart in Appendix A further confirms that Equal-Weight leads on the main return and risk-adjusted metrics.</w:t>
      </w:r>
    </w:p>
    <w:p w14:paraId="0E485A67" w14:textId="300AF143" w:rsidR="00C235CC" w:rsidRPr="00437350" w:rsidRDefault="00C235CC" w:rsidP="00437350">
      <w:pPr>
        <w:spacing w:before="80" w:after="60" w:line="259" w:lineRule="auto"/>
        <w:rPr>
          <w:lang w:val="en-GB"/>
        </w:rPr>
      </w:pPr>
      <w:r w:rsidRPr="00C235CC">
        <w:t xml:space="preserve">However, this stronger return performance came with higher total volatility. Equal-Weight recorded </w:t>
      </w:r>
      <w:proofErr w:type="spellStart"/>
      <w:r w:rsidRPr="00C235CC">
        <w:t>annualised</w:t>
      </w:r>
      <w:proofErr w:type="spellEnd"/>
      <w:r w:rsidRPr="00C235CC">
        <w:t xml:space="preserve"> volatility of 10.06%, almost double that of Minimum-Variance at 5.59% and CVaR-95 at 5.46%. This shows that the Equal-Weight portfolio accepted greater variation in returns </w:t>
      </w:r>
      <w:proofErr w:type="gramStart"/>
      <w:r w:rsidRPr="00C235CC">
        <w:t>in order to</w:t>
      </w:r>
      <w:proofErr w:type="gramEnd"/>
      <w:r w:rsidRPr="00C235CC">
        <w:t xml:space="preserve"> maintain broad exposure to all six ETFs. Since four of the six ETFs represented equity markets, the Equal-Weight strategy preserved a higher equity allocation throughout the </w:t>
      </w:r>
      <w:r w:rsidRPr="00C235CC">
        <w:lastRenderedPageBreak/>
        <w:t>out-of-sample period. This allowed it to benefit more from market upside than the two defensive strategies.</w:t>
      </w:r>
    </w:p>
    <w:p w14:paraId="3E93BF6E" w14:textId="37BBC915" w:rsidR="00437350" w:rsidRDefault="00C235CC" w:rsidP="004C35EF">
      <w:pPr>
        <w:spacing w:before="80" w:after="60" w:line="259" w:lineRule="auto"/>
      </w:pPr>
      <w:r w:rsidRPr="00C235CC">
        <w:t xml:space="preserve">The lower return of Minimum-Variance and CVaR-95 is consistent with their </w:t>
      </w:r>
      <w:proofErr w:type="spellStart"/>
      <w:r w:rsidRPr="00C235CC">
        <w:t>optimisation</w:t>
      </w:r>
      <w:proofErr w:type="spellEnd"/>
      <w:r w:rsidRPr="00C235CC">
        <w:t xml:space="preserve"> objectives. These strategies </w:t>
      </w:r>
      <w:proofErr w:type="gramStart"/>
      <w:r w:rsidRPr="00C235CC">
        <w:t>were not designed</w:t>
      </w:r>
      <w:proofErr w:type="gramEnd"/>
      <w:r w:rsidRPr="00C235CC">
        <w:t xml:space="preserve"> to </w:t>
      </w:r>
      <w:proofErr w:type="spellStart"/>
      <w:r w:rsidRPr="00C235CC">
        <w:t>maximise</w:t>
      </w:r>
      <w:proofErr w:type="spellEnd"/>
      <w:r w:rsidRPr="00C235CC">
        <w:t xml:space="preserve"> return; they were designed to reduce variance or tail-risk exposure. Their lower volatility values show that the </w:t>
      </w:r>
      <w:proofErr w:type="spellStart"/>
      <w:r w:rsidRPr="00C235CC">
        <w:t>optimisers</w:t>
      </w:r>
      <w:proofErr w:type="spellEnd"/>
      <w:r w:rsidRPr="00C235CC">
        <w:t xml:space="preserve"> were successful in reducing overall return fluctuation. However, their much lower CAGR values show that this risk reduction came at a meaningful opportunity cost. In this sample, the reduction in risk did not translate into stronger risk-adjusted performance because the defensive allocation also reduced participation in equity-market growth.</w:t>
      </w:r>
    </w:p>
    <w:p w14:paraId="7817FE63" w14:textId="3DBB6018" w:rsidR="00C235CC" w:rsidRPr="00C235CC" w:rsidRDefault="00C235CC" w:rsidP="004C35EF">
      <w:pPr>
        <w:spacing w:before="80" w:after="60" w:line="259" w:lineRule="auto"/>
        <w:rPr>
          <w:lang w:val="en-GB"/>
        </w:rPr>
      </w:pPr>
      <w:r w:rsidRPr="00C235CC">
        <w:rPr>
          <w:lang w:val="en-GB"/>
        </w:rPr>
        <w:t xml:space="preserve">This result is important for interpreting the hypothesis. The hypothesis did not claim that </w:t>
      </w:r>
      <w:proofErr w:type="spellStart"/>
      <w:r w:rsidRPr="00C235CC">
        <w:rPr>
          <w:lang w:val="en-GB"/>
        </w:rPr>
        <w:t>CVaR</w:t>
      </w:r>
      <w:proofErr w:type="spellEnd"/>
      <w:r w:rsidRPr="00C235CC">
        <w:rPr>
          <w:lang w:val="en-GB"/>
        </w:rPr>
        <w:t xml:space="preserve">-minimisation would maximise return. Instead, it proposed that </w:t>
      </w:r>
      <w:proofErr w:type="spellStart"/>
      <w:r w:rsidRPr="00C235CC">
        <w:rPr>
          <w:lang w:val="en-GB"/>
        </w:rPr>
        <w:t>CVaR</w:t>
      </w:r>
      <w:proofErr w:type="spellEnd"/>
      <w:r w:rsidRPr="00C235CC">
        <w:rPr>
          <w:lang w:val="en-GB"/>
        </w:rPr>
        <w:t>-minimisation would improve downside-risk control without material deterioration in CAGR or Sharpe ratio. The return and risk-adjusted metrics therefore already show a potential weakness in the hypothesis: CVaR-95 achieved lower volatility than Equal-Weight, but it also produced a much lower CAGR and Sharpe ratio. The next subsection therefore examines whether the downside-risk metrics are strong enough to justify this return sacrifice.</w:t>
      </w:r>
    </w:p>
    <w:p w14:paraId="10766359" w14:textId="77777777" w:rsidR="003D5B1C" w:rsidRDefault="003D5B1C" w:rsidP="004C35EF">
      <w:pPr>
        <w:spacing w:before="80" w:after="60" w:line="259" w:lineRule="auto"/>
      </w:pPr>
    </w:p>
    <w:p w14:paraId="01F65764" w14:textId="52AD9DB3" w:rsidR="003D5B1C" w:rsidRPr="003D5B1C" w:rsidRDefault="003D5B1C" w:rsidP="003D5B1C">
      <w:pPr>
        <w:pStyle w:val="ListParagraph"/>
        <w:numPr>
          <w:ilvl w:val="0"/>
          <w:numId w:val="18"/>
        </w:numPr>
        <w:spacing w:before="80" w:after="60" w:line="259" w:lineRule="auto"/>
        <w:rPr>
          <w:b/>
          <w:bCs/>
        </w:rPr>
      </w:pPr>
      <w:r w:rsidRPr="003D5B1C">
        <w:rPr>
          <w:b/>
          <w:bCs/>
        </w:rPr>
        <w:t>Downside-risk comparison</w:t>
      </w:r>
    </w:p>
    <w:p w14:paraId="6EE538FA" w14:textId="2B83661E" w:rsidR="00E1478B" w:rsidRDefault="00C235CC" w:rsidP="004C35EF">
      <w:pPr>
        <w:spacing w:before="80" w:after="60" w:line="259" w:lineRule="auto"/>
      </w:pPr>
      <w:r w:rsidRPr="00C235CC">
        <w:t xml:space="preserve">The downside-risk results provide a more direct test of the main hypothesis because the study </w:t>
      </w:r>
      <w:proofErr w:type="gramStart"/>
      <w:r w:rsidRPr="00C235CC">
        <w:t xml:space="preserve">is </w:t>
      </w:r>
      <w:proofErr w:type="spellStart"/>
      <w:r w:rsidRPr="00C235CC">
        <w:t>centred</w:t>
      </w:r>
      <w:proofErr w:type="spellEnd"/>
      <w:proofErr w:type="gramEnd"/>
      <w:r w:rsidRPr="00C235CC">
        <w:t xml:space="preserve"> on </w:t>
      </w:r>
      <w:proofErr w:type="spellStart"/>
      <w:r w:rsidRPr="00C235CC">
        <w:t>CVaR</w:t>
      </w:r>
      <w:proofErr w:type="spellEnd"/>
      <w:r w:rsidRPr="00C235CC">
        <w:t xml:space="preserve">-based risk control. In Table </w:t>
      </w:r>
      <w:r w:rsidR="00B02351">
        <w:t>2</w:t>
      </w:r>
      <w:r w:rsidRPr="00C235CC">
        <w:t xml:space="preserve">, CVaR-95 achieved the lowest </w:t>
      </w:r>
      <w:proofErr w:type="spellStart"/>
      <w:r w:rsidRPr="00C235CC">
        <w:t>VaR</w:t>
      </w:r>
      <w:proofErr w:type="spellEnd"/>
      <w:r w:rsidRPr="00C235CC">
        <w:t xml:space="preserve"> and </w:t>
      </w:r>
      <w:proofErr w:type="spellStart"/>
      <w:r w:rsidRPr="00C235CC">
        <w:t>CVaR</w:t>
      </w:r>
      <w:proofErr w:type="spellEnd"/>
      <w:r w:rsidRPr="00C235CC">
        <w:t xml:space="preserve"> values among the three strategies. Its </w:t>
      </w:r>
      <w:proofErr w:type="spellStart"/>
      <w:r w:rsidRPr="00C235CC">
        <w:t>VaR</w:t>
      </w:r>
      <w:proofErr w:type="spellEnd"/>
      <w:r w:rsidRPr="00C235CC">
        <w:t xml:space="preserve"> at the 95% level was 0.54%, slightly lower than Minimum-Variance at 0.55% and substantially lower than Equal-Weight at 0.95%. Its </w:t>
      </w:r>
      <w:proofErr w:type="spellStart"/>
      <w:r w:rsidRPr="00C235CC">
        <w:t>CVaR</w:t>
      </w:r>
      <w:proofErr w:type="spellEnd"/>
      <w:r w:rsidRPr="00C235CC">
        <w:t xml:space="preserve"> was also the lowest at 0.82%, compared with 0.84% for Minimum-Variance and 1.56% for Equal-Weight. Since </w:t>
      </w:r>
      <w:proofErr w:type="spellStart"/>
      <w:r w:rsidRPr="00C235CC">
        <w:t>VaR</w:t>
      </w:r>
      <w:proofErr w:type="spellEnd"/>
      <w:r w:rsidRPr="00C235CC">
        <w:t xml:space="preserve"> and </w:t>
      </w:r>
      <w:proofErr w:type="spellStart"/>
      <w:r w:rsidRPr="00C235CC">
        <w:t>CVaR</w:t>
      </w:r>
      <w:proofErr w:type="spellEnd"/>
      <w:r w:rsidRPr="00C235CC">
        <w:t xml:space="preserve"> </w:t>
      </w:r>
      <w:proofErr w:type="gramStart"/>
      <w:r w:rsidRPr="00C235CC">
        <w:t>are reported</w:t>
      </w:r>
      <w:proofErr w:type="gramEnd"/>
      <w:r w:rsidRPr="00C235CC">
        <w:t xml:space="preserve"> as positive loss magnitudes, lower values indicate better short-horizon tail-risk control.</w:t>
      </w:r>
    </w:p>
    <w:p w14:paraId="2FD6F567" w14:textId="779B04C3" w:rsidR="00C235CC" w:rsidRDefault="007F127C" w:rsidP="004C35EF">
      <w:pPr>
        <w:spacing w:before="80" w:after="60" w:line="259" w:lineRule="auto"/>
      </w:pPr>
      <w:r w:rsidRPr="007F127C">
        <w:t xml:space="preserve">This finding supports one part of the hypothesis. The </w:t>
      </w:r>
      <w:proofErr w:type="spellStart"/>
      <w:r w:rsidRPr="007F127C">
        <w:t>CVaR-minimisation</w:t>
      </w:r>
      <w:proofErr w:type="spellEnd"/>
      <w:r w:rsidRPr="007F127C">
        <w:t xml:space="preserve"> objective was effective in reducing the lower tail of the daily return distribution. The improvement over Minimum-Variance was small, but it was still in the expected direction. The improvement over Equal-Weight was larger, which is consistent with the fact that Equal-Weight maintained higher equity exposure and therefore accepted greater downside variation. In this sense, the </w:t>
      </w:r>
      <w:proofErr w:type="spellStart"/>
      <w:r w:rsidRPr="007F127C">
        <w:t>CVaR</w:t>
      </w:r>
      <w:proofErr w:type="spellEnd"/>
      <w:r w:rsidRPr="007F127C">
        <w:t xml:space="preserve"> strategy behaved as expected: it reduced the short-horizon tail-loss metrics that it </w:t>
      </w:r>
      <w:proofErr w:type="gramStart"/>
      <w:r w:rsidRPr="007F127C">
        <w:t>was designed</w:t>
      </w:r>
      <w:proofErr w:type="gramEnd"/>
      <w:r w:rsidRPr="007F127C">
        <w:t xml:space="preserve"> to control.</w:t>
      </w:r>
    </w:p>
    <w:p w14:paraId="5B50F41A" w14:textId="31A442CE" w:rsidR="007F127C" w:rsidRDefault="007F127C" w:rsidP="004C35EF">
      <w:pPr>
        <w:spacing w:before="80" w:after="60" w:line="259" w:lineRule="auto"/>
      </w:pPr>
      <w:r w:rsidRPr="007F127C">
        <w:t xml:space="preserve">However, the downside-risk result was not uniformly </w:t>
      </w:r>
      <w:proofErr w:type="spellStart"/>
      <w:r w:rsidRPr="007F127C">
        <w:t>favourable</w:t>
      </w:r>
      <w:proofErr w:type="spellEnd"/>
      <w:r w:rsidRPr="007F127C">
        <w:t xml:space="preserve"> to CVaR-95. Maximum drawdown shows a different pattern. Minimum-Variance achieved the </w:t>
      </w:r>
      <w:r w:rsidRPr="007F127C">
        <w:t xml:space="preserve">shallowest maximum drawdown at -17.13%, while CVaR-95 recorded -20.55% and Equal-Weight recorded -22.02%. This means that CVaR-95 did not achieve the lowest peak-to-trough loss over the evaluation period. Fig. </w:t>
      </w:r>
      <w:r w:rsidR="007D4F81">
        <w:t>5</w:t>
      </w:r>
      <w:r w:rsidRPr="007F127C">
        <w:t xml:space="preserve"> also supports this distinction, as the CVaR-95 portfolio generally experienced deeper and more persistent drawdowns than the Minimum-Variance portfolio, especially from 2020 onward.</w:t>
      </w:r>
    </w:p>
    <w:p w14:paraId="56D3CE39" w14:textId="31AD1C77" w:rsidR="00087986" w:rsidRDefault="00087986" w:rsidP="00087986">
      <w:pPr>
        <w:spacing w:before="80" w:after="60" w:line="259" w:lineRule="auto"/>
      </w:pPr>
      <w:r w:rsidRPr="00912B67">
        <w:t xml:space="preserve">[Insert Fig. </w:t>
      </w:r>
      <w:r w:rsidR="007D4F81">
        <w:t>5</w:t>
      </w:r>
      <w:r w:rsidRPr="00912B67">
        <w:t xml:space="preserve"> here]</w:t>
      </w:r>
    </w:p>
    <w:p w14:paraId="169B33CE" w14:textId="393C5EFF" w:rsidR="00087986" w:rsidRPr="006467E6" w:rsidRDefault="00087986" w:rsidP="00087986">
      <w:pPr>
        <w:spacing w:before="80" w:after="60" w:line="259" w:lineRule="auto"/>
        <w:rPr>
          <w:lang w:val="en-GB"/>
        </w:rPr>
      </w:pPr>
      <w:r w:rsidRPr="006467E6">
        <w:rPr>
          <w:lang w:val="en-GB"/>
        </w:rPr>
        <w:t xml:space="preserve">Fig. </w:t>
      </w:r>
      <w:r w:rsidR="007D4F81">
        <w:rPr>
          <w:lang w:val="en-GB"/>
        </w:rPr>
        <w:t>5</w:t>
      </w:r>
      <w:r w:rsidRPr="006467E6">
        <w:rPr>
          <w:lang w:val="en-GB"/>
        </w:rPr>
        <w:t xml:space="preserve">. </w:t>
      </w:r>
      <w:r w:rsidRPr="006467E6">
        <w:rPr>
          <w:i/>
          <w:iCs/>
          <w:sz w:val="16"/>
          <w:szCs w:val="16"/>
        </w:rPr>
        <w:t>Drawdown comparison for Equal-Weight, Minimum-Variance, and CVaR-95 portfolios.</w:t>
      </w:r>
    </w:p>
    <w:p w14:paraId="229F5D87" w14:textId="77777777" w:rsidR="00087986" w:rsidRDefault="00087986" w:rsidP="004C35EF">
      <w:pPr>
        <w:spacing w:before="80" w:after="60" w:line="259" w:lineRule="auto"/>
      </w:pPr>
    </w:p>
    <w:p w14:paraId="0051E651" w14:textId="2B6E982C" w:rsidR="007F127C" w:rsidRDefault="007F127C" w:rsidP="004C35EF">
      <w:pPr>
        <w:spacing w:before="80" w:after="60" w:line="259" w:lineRule="auto"/>
      </w:pPr>
      <w:r w:rsidRPr="007F127C">
        <w:t xml:space="preserve">This difference is important because </w:t>
      </w:r>
      <w:proofErr w:type="spellStart"/>
      <w:r w:rsidRPr="007F127C">
        <w:t>VaR</w:t>
      </w:r>
      <w:proofErr w:type="spellEnd"/>
      <w:r w:rsidRPr="007F127C">
        <w:t>/</w:t>
      </w:r>
      <w:proofErr w:type="spellStart"/>
      <w:r w:rsidRPr="007F127C">
        <w:t>CVaR</w:t>
      </w:r>
      <w:proofErr w:type="spellEnd"/>
      <w:r w:rsidRPr="007F127C">
        <w:t xml:space="preserve"> and maximum drawdown measure different aspects of risk. </w:t>
      </w:r>
      <w:proofErr w:type="spellStart"/>
      <w:r w:rsidRPr="007F127C">
        <w:t>VaR</w:t>
      </w:r>
      <w:proofErr w:type="spellEnd"/>
      <w:r w:rsidRPr="007F127C">
        <w:t xml:space="preserve"> and </w:t>
      </w:r>
      <w:proofErr w:type="spellStart"/>
      <w:r w:rsidRPr="007F127C">
        <w:t>CVaR</w:t>
      </w:r>
      <w:proofErr w:type="spellEnd"/>
      <w:r w:rsidRPr="007F127C">
        <w:t xml:space="preserve"> </w:t>
      </w:r>
      <w:proofErr w:type="spellStart"/>
      <w:r w:rsidRPr="007F127C">
        <w:t>summarise</w:t>
      </w:r>
      <w:proofErr w:type="spellEnd"/>
      <w:r w:rsidRPr="007F127C">
        <w:t xml:space="preserve"> short-horizon tail losses in the return distribution. Maximum drawdown instead measures the worst cumulative decline from a previous peak. A portfolio can therefore reduce daily tail losses while still experiencing a weaker cumulative recovery path. The results show exactly this pattern: CVaR-95 performed best on </w:t>
      </w:r>
      <w:proofErr w:type="spellStart"/>
      <w:r w:rsidRPr="007F127C">
        <w:t>VaR</w:t>
      </w:r>
      <w:proofErr w:type="spellEnd"/>
      <w:r w:rsidRPr="007F127C">
        <w:t xml:space="preserve"> and </w:t>
      </w:r>
      <w:proofErr w:type="spellStart"/>
      <w:r w:rsidRPr="007F127C">
        <w:t>CVaR</w:t>
      </w:r>
      <w:proofErr w:type="spellEnd"/>
      <w:r w:rsidRPr="007F127C">
        <w:t>, but Minimum-Variance performed best on maximum drawdown.</w:t>
      </w:r>
    </w:p>
    <w:p w14:paraId="5845EA7F" w14:textId="48FC0064" w:rsidR="007F127C" w:rsidRPr="007F127C" w:rsidRDefault="007F127C" w:rsidP="004C35EF">
      <w:pPr>
        <w:spacing w:before="80" w:after="60" w:line="259" w:lineRule="auto"/>
        <w:rPr>
          <w:lang w:val="en-GB"/>
        </w:rPr>
      </w:pPr>
      <w:r w:rsidRPr="007F127C">
        <w:rPr>
          <w:lang w:val="en-GB"/>
        </w:rPr>
        <w:t xml:space="preserve">Therefore, the downside-risk evidence only partially supports the hypothesis. CVaR-95 achieved the lowest </w:t>
      </w:r>
      <w:proofErr w:type="spellStart"/>
      <w:r w:rsidRPr="007F127C">
        <w:rPr>
          <w:lang w:val="en-GB"/>
        </w:rPr>
        <w:t>VaR</w:t>
      </w:r>
      <w:proofErr w:type="spellEnd"/>
      <w:r w:rsidRPr="007F127C">
        <w:rPr>
          <w:lang w:val="en-GB"/>
        </w:rPr>
        <w:t xml:space="preserve"> and </w:t>
      </w:r>
      <w:proofErr w:type="spellStart"/>
      <w:r w:rsidRPr="007F127C">
        <w:rPr>
          <w:lang w:val="en-GB"/>
        </w:rPr>
        <w:t>CVaR</w:t>
      </w:r>
      <w:proofErr w:type="spellEnd"/>
      <w:r w:rsidRPr="007F127C">
        <w:rPr>
          <w:lang w:val="en-GB"/>
        </w:rPr>
        <w:t xml:space="preserve">, which supports the claim that </w:t>
      </w:r>
      <w:proofErr w:type="spellStart"/>
      <w:r w:rsidRPr="007F127C">
        <w:rPr>
          <w:lang w:val="en-GB"/>
        </w:rPr>
        <w:t>CVaR</w:t>
      </w:r>
      <w:proofErr w:type="spellEnd"/>
      <w:r w:rsidRPr="007F127C">
        <w:rPr>
          <w:lang w:val="en-GB"/>
        </w:rPr>
        <w:t xml:space="preserve">-minimisation improves short-horizon tail-risk control. However, it did not achieve the lowest maximum drawdown. As a result, the </w:t>
      </w:r>
      <w:proofErr w:type="spellStart"/>
      <w:r w:rsidRPr="007F127C">
        <w:rPr>
          <w:lang w:val="en-GB"/>
        </w:rPr>
        <w:t>CVaR</w:t>
      </w:r>
      <w:proofErr w:type="spellEnd"/>
      <w:r w:rsidRPr="007F127C">
        <w:rPr>
          <w:lang w:val="en-GB"/>
        </w:rPr>
        <w:t xml:space="preserve"> strategy cannot be described as the strongest downside-risk strategy across all risk measures. It is more accurate to state that CVaR-95 improved the specific daily tail-risk metrics it targeted, but did not dominate the Minimum-Variance benchmark on longer path-dependent downside risk.</w:t>
      </w:r>
    </w:p>
    <w:p w14:paraId="423BCAB0" w14:textId="77777777" w:rsidR="003D5B1C" w:rsidRDefault="003D5B1C" w:rsidP="004C35EF">
      <w:pPr>
        <w:spacing w:before="80" w:after="60" w:line="259" w:lineRule="auto"/>
      </w:pPr>
    </w:p>
    <w:p w14:paraId="2BA7D63D" w14:textId="752071D0" w:rsidR="0075119B" w:rsidRPr="00E125A7" w:rsidRDefault="003D5B1C" w:rsidP="004C35EF">
      <w:pPr>
        <w:pStyle w:val="ListParagraph"/>
        <w:numPr>
          <w:ilvl w:val="0"/>
          <w:numId w:val="18"/>
        </w:numPr>
        <w:spacing w:before="80" w:after="60" w:line="259" w:lineRule="auto"/>
        <w:rPr>
          <w:b/>
          <w:bCs/>
        </w:rPr>
      </w:pPr>
      <w:r w:rsidRPr="003D5B1C">
        <w:rPr>
          <w:b/>
          <w:bCs/>
        </w:rPr>
        <w:t>Weight allocation</w:t>
      </w:r>
      <w:r w:rsidR="00CD4CE4">
        <w:rPr>
          <w:b/>
          <w:bCs/>
        </w:rPr>
        <w:t xml:space="preserve"> </w:t>
      </w:r>
      <w:r w:rsidR="00CD4CE4" w:rsidRPr="00CD4CE4">
        <w:rPr>
          <w:b/>
          <w:bCs/>
        </w:rPr>
        <w:t>analysis</w:t>
      </w:r>
    </w:p>
    <w:p w14:paraId="361D7CDC" w14:textId="77777777" w:rsidR="00DC0BFB" w:rsidRPr="00DC0BFB" w:rsidRDefault="00DC0BFB" w:rsidP="00DC0BFB">
      <w:pPr>
        <w:spacing w:before="80" w:after="60" w:line="259" w:lineRule="auto"/>
        <w:rPr>
          <w:lang w:val="en-GB"/>
        </w:rPr>
      </w:pPr>
      <w:r w:rsidRPr="00DC0BFB">
        <w:rPr>
          <w:lang w:val="en-GB"/>
        </w:rPr>
        <w:t>The allocation evidence helps explain why the three strategies produced different return and risk outcomes. The detailed weight evolution plots are provided in Appendix A. Appendix A, Fig. 7 shows that Equal-Weight maintained a constant allocation of approximately 16.67% to each ETF. This gave the strategy a stable combined equity exposure of around two-thirds of the portfolio, since four of the six ETFs represented equity markets. This structure explains why Equal-Weight captured more market upside and achieved the highest CAGR, but also why it carried the highest annualised volatility and higher tail-risk values.</w:t>
      </w:r>
    </w:p>
    <w:p w14:paraId="244BE1F5" w14:textId="77777777" w:rsidR="00DC0BFB" w:rsidRPr="00DC0BFB" w:rsidRDefault="00DC0BFB" w:rsidP="00DC0BFB">
      <w:pPr>
        <w:spacing w:before="80" w:after="60" w:line="259" w:lineRule="auto"/>
        <w:rPr>
          <w:lang w:val="en-GB"/>
        </w:rPr>
      </w:pPr>
      <w:r w:rsidRPr="00DC0BFB">
        <w:rPr>
          <w:lang w:val="en-GB"/>
        </w:rPr>
        <w:t xml:space="preserve">By contrast, Appendix A, Figs. 8 and 9 show that the optimised strategies allocated much larger weights to the two bond ETFs, especially SXRQ and, at several points, CBU0. This pattern was particularly visible in the Minimum-Variance and CVaR-95 portfolios. The allocation behaviour is consistent with the objectives </w:t>
      </w:r>
      <w:r w:rsidRPr="00DC0BFB">
        <w:rPr>
          <w:lang w:val="en-GB"/>
        </w:rPr>
        <w:lastRenderedPageBreak/>
        <w:t>of the two optimisers. Minimum-Variance reduced exposure to assets that increased portfolio variance, while CVaR-95 reduced exposure to assets that contributed more strongly to historical tail losses.</w:t>
      </w:r>
    </w:p>
    <w:p w14:paraId="0E284C46" w14:textId="77777777" w:rsidR="00DC0BFB" w:rsidRPr="00DC0BFB" w:rsidRDefault="00DC0BFB" w:rsidP="00DC0BFB">
      <w:pPr>
        <w:spacing w:before="80" w:after="60" w:line="259" w:lineRule="auto"/>
        <w:rPr>
          <w:lang w:val="en-GB"/>
        </w:rPr>
      </w:pPr>
      <w:r w:rsidRPr="00DC0BFB">
        <w:rPr>
          <w:lang w:val="en-GB"/>
        </w:rPr>
        <w:t>Appendix A, Fig. 10 provides further support for this behaviour through the ETF correlation heatmap. The equity ETFs were positively correlated with each other, while the bond ETFs showed lower or near-zero correlations with most equity ETFs. This made the bond ETFs useful for reducing portfolio risk. As a result, the optimised strategies shifted towards defensive assets that reduced volatility and short-horizon tail risk. This helps explain why Minimum-Variance and CVaR-95 recorded much lower annualised volatility than Equal-Weight.</w:t>
      </w:r>
    </w:p>
    <w:p w14:paraId="3B02CBDB" w14:textId="77777777" w:rsidR="00DC0BFB" w:rsidRPr="00DC0BFB" w:rsidRDefault="00DC0BFB" w:rsidP="00DC0BFB">
      <w:pPr>
        <w:spacing w:before="80" w:after="60" w:line="259" w:lineRule="auto"/>
        <w:rPr>
          <w:lang w:val="en-GB"/>
        </w:rPr>
      </w:pPr>
      <w:r w:rsidRPr="00DC0BFB">
        <w:rPr>
          <w:lang w:val="en-GB"/>
        </w:rPr>
        <w:t>The same allocation behaviour also explains the weaker return performance of the optimised portfolios. By concentrating more heavily in bond ETFs, Minimum-Variance and CVaR-95 reduced their exposure to equity-market growth. This was beneficial for volatility reduction, but it limited participation in the upside that drove the Equal-Weight result. The findings therefore show a clear allocation-based trade-off: the optimisers reduced risk by moving towards defensive assets, but this also reduced their ability to generate return during the out-of-sample period.</w:t>
      </w:r>
    </w:p>
    <w:p w14:paraId="0771E9C3" w14:textId="4A9FDD48" w:rsidR="00DC0BFB" w:rsidRPr="00951DA1" w:rsidRDefault="00DC0BFB" w:rsidP="004C35EF">
      <w:pPr>
        <w:spacing w:before="80" w:after="60" w:line="259" w:lineRule="auto"/>
        <w:rPr>
          <w:lang w:val="en-GB"/>
        </w:rPr>
      </w:pPr>
      <w:r w:rsidRPr="00DC0BFB">
        <w:rPr>
          <w:lang w:val="en-GB"/>
        </w:rPr>
        <w:t xml:space="preserve">This allocation analysis answers the portfolio-construction research question more directly. Under identical long-only and fully invested constraints, </w:t>
      </w:r>
      <w:proofErr w:type="spellStart"/>
      <w:r w:rsidRPr="00DC0BFB">
        <w:rPr>
          <w:lang w:val="en-GB"/>
        </w:rPr>
        <w:t>CVaR</w:t>
      </w:r>
      <w:proofErr w:type="spellEnd"/>
      <w:r w:rsidRPr="00DC0BFB">
        <w:rPr>
          <w:lang w:val="en-GB"/>
        </w:rPr>
        <w:t xml:space="preserve">-minimisation behaved differently from Equal-Weight and broadly similarly to Minimum-Variance. It did not create a balanced return-seeking portfolio; it created a defensive portfolio. This behaviour is consistent with a downside-risk objective, but it also explains why the strategy struggled to remain competitive on CAGR, Sharpe ratio and </w:t>
      </w:r>
      <w:proofErr w:type="spellStart"/>
      <w:r w:rsidRPr="00DC0BFB">
        <w:rPr>
          <w:lang w:val="en-GB"/>
        </w:rPr>
        <w:t>Sortino</w:t>
      </w:r>
      <w:proofErr w:type="spellEnd"/>
      <w:r w:rsidRPr="00DC0BFB">
        <w:rPr>
          <w:lang w:val="en-GB"/>
        </w:rPr>
        <w:t xml:space="preserve"> ratio.</w:t>
      </w:r>
    </w:p>
    <w:p w14:paraId="0F4CD73A" w14:textId="77777777" w:rsidR="003D5B1C" w:rsidRDefault="003D5B1C" w:rsidP="004C35EF">
      <w:pPr>
        <w:spacing w:before="80" w:after="60" w:line="259" w:lineRule="auto"/>
      </w:pPr>
    </w:p>
    <w:p w14:paraId="495E2689" w14:textId="5A4CFB85" w:rsidR="003D5B1C" w:rsidRPr="00F66A27" w:rsidRDefault="003D5B1C" w:rsidP="004C35EF">
      <w:pPr>
        <w:pStyle w:val="ListParagraph"/>
        <w:numPr>
          <w:ilvl w:val="0"/>
          <w:numId w:val="18"/>
        </w:numPr>
        <w:spacing w:before="80" w:after="60" w:line="259" w:lineRule="auto"/>
        <w:rPr>
          <w:b/>
          <w:bCs/>
        </w:rPr>
      </w:pPr>
      <w:r w:rsidRPr="003D5B1C">
        <w:rPr>
          <w:b/>
          <w:bCs/>
        </w:rPr>
        <w:t>Sensitivity and robustness</w:t>
      </w:r>
    </w:p>
    <w:p w14:paraId="47A6F6ED" w14:textId="77777777" w:rsidR="00951DA1" w:rsidRPr="00951DA1" w:rsidRDefault="00951DA1" w:rsidP="00951DA1">
      <w:pPr>
        <w:spacing w:before="80" w:after="60" w:line="259" w:lineRule="auto"/>
        <w:rPr>
          <w:lang w:val="en-GB"/>
        </w:rPr>
      </w:pPr>
      <w:r w:rsidRPr="00951DA1">
        <w:rPr>
          <w:lang w:val="en-GB"/>
        </w:rPr>
        <w:t xml:space="preserve">Three sensitivity experiments were conducted to examine whether the baseline conclusions depended strongly on the selected </w:t>
      </w:r>
      <w:proofErr w:type="spellStart"/>
      <w:r w:rsidRPr="00951DA1">
        <w:rPr>
          <w:lang w:val="en-GB"/>
        </w:rPr>
        <w:t>backtest</w:t>
      </w:r>
      <w:proofErr w:type="spellEnd"/>
      <w:r w:rsidRPr="00951DA1">
        <w:rPr>
          <w:lang w:val="en-GB"/>
        </w:rPr>
        <w:t xml:space="preserve"> parameters. The tests varied the estimation window length, rebalancing frequency, and </w:t>
      </w:r>
      <w:proofErr w:type="spellStart"/>
      <w:r w:rsidRPr="00951DA1">
        <w:rPr>
          <w:lang w:val="en-GB"/>
        </w:rPr>
        <w:t>CVaR</w:t>
      </w:r>
      <w:proofErr w:type="spellEnd"/>
      <w:r w:rsidRPr="00951DA1">
        <w:rPr>
          <w:lang w:val="en-GB"/>
        </w:rPr>
        <w:t xml:space="preserve"> confidence level. These checks were important because the baseline specification used a 252-day estimation window, a 21-trading-day rebalance frequency, and a </w:t>
      </w:r>
      <w:proofErr w:type="spellStart"/>
      <w:r w:rsidRPr="00951DA1">
        <w:rPr>
          <w:lang w:val="en-GB"/>
        </w:rPr>
        <w:t>CVaR</w:t>
      </w:r>
      <w:proofErr w:type="spellEnd"/>
      <w:r w:rsidRPr="00951DA1">
        <w:rPr>
          <w:lang w:val="en-GB"/>
        </w:rPr>
        <w:t xml:space="preserve"> confidence level of 0.95. Robustness analysis therefore helped assess whether the findings were stable or mainly driven by one parameter setting.</w:t>
      </w:r>
    </w:p>
    <w:p w14:paraId="6B5BCC1E" w14:textId="77777777" w:rsidR="00951DA1" w:rsidRPr="00951DA1" w:rsidRDefault="00951DA1" w:rsidP="00951DA1">
      <w:pPr>
        <w:spacing w:before="80" w:after="60" w:line="259" w:lineRule="auto"/>
        <w:rPr>
          <w:lang w:val="en-GB"/>
        </w:rPr>
      </w:pPr>
      <w:r w:rsidRPr="00951DA1">
        <w:rPr>
          <w:lang w:val="en-GB"/>
        </w:rPr>
        <w:t xml:space="preserve">The estimation-window test compared the 252-day baseline with a longer 504-day window. The longer window did not improve the main results. For CVaR-95, the Sharpe ratio declined from 0.138 under the 252-day window to 0.110 under the 504-day window. </w:t>
      </w:r>
      <w:r w:rsidRPr="00951DA1">
        <w:rPr>
          <w:lang w:val="en-GB"/>
        </w:rPr>
        <w:t>Minimum-Variance was affected more strongly, with its Sharpe ratio falling from 0.286 to 0.084. The 504-day setting also reduced the number of out-of-sample observations from 2246 to 1994, removing approximately one trading year from the realised evaluation period. This means that the longer estimation window did not provide enough benefit to justify the shorter out-of-sample period. The 252-day window was therefore retained as the more defensible baseline because it provided a full year of estimation data while preserving a longer evaluation period.</w:t>
      </w:r>
    </w:p>
    <w:p w14:paraId="3BB29BED" w14:textId="77777777" w:rsidR="00951DA1" w:rsidRPr="00951DA1" w:rsidRDefault="00951DA1" w:rsidP="00951DA1">
      <w:pPr>
        <w:spacing w:before="80" w:after="60" w:line="259" w:lineRule="auto"/>
        <w:rPr>
          <w:lang w:val="en-GB"/>
        </w:rPr>
      </w:pPr>
      <w:r w:rsidRPr="00951DA1">
        <w:rPr>
          <w:lang w:val="en-GB"/>
        </w:rPr>
        <w:t>The rebalancing-frequency test compared the monthly baseline of 21 trading days with a quarterly alternative of 63 trading days. Equal-Weight produced identical results under both settings, with a Sharpe ratio of 0.555, a CAGR of 5.74%, and a maximum drawdown of -22.02%. This is expected because Equal-Weight uses the same constant 1/N target allocation and the study did not model transaction costs. CVaR-95 was also relatively stable: its Sharpe ratio changed only slightly from 0.138 to 0.130, and maximum drawdown remained close to -20.6%. Minimum-Variance improved under quarterly rebalancing, with its Sharpe ratio increasing from 0.286 to 0.322 and its maximum drawdown improving from -17.13% to -14.94%. This suggests that less frequent rebalancing may have reduced sensitivity to short-term covariance changes in this sample. However, the overall conclusion did not change, since Equal-Weight remained strongest on return and Sharpe performance.</w:t>
      </w:r>
    </w:p>
    <w:p w14:paraId="4E14A4D8" w14:textId="77777777" w:rsidR="00951DA1" w:rsidRPr="00951DA1" w:rsidRDefault="00951DA1" w:rsidP="00951DA1">
      <w:pPr>
        <w:spacing w:before="80" w:after="60" w:line="259" w:lineRule="auto"/>
        <w:rPr>
          <w:lang w:val="en-GB"/>
        </w:rPr>
      </w:pPr>
      <w:r w:rsidRPr="00951DA1">
        <w:rPr>
          <w:lang w:val="en-GB"/>
        </w:rPr>
        <w:t xml:space="preserve">The </w:t>
      </w:r>
      <w:proofErr w:type="spellStart"/>
      <w:r w:rsidRPr="00951DA1">
        <w:rPr>
          <w:lang w:val="en-GB"/>
        </w:rPr>
        <w:t>CVaR</w:t>
      </w:r>
      <w:proofErr w:type="spellEnd"/>
      <w:r w:rsidRPr="00951DA1">
        <w:rPr>
          <w:lang w:val="en-GB"/>
        </w:rPr>
        <w:t xml:space="preserve"> confidence-level test compared alpha values of 0.90, 0.95 and 0.99. CVaR-90 and CVaR-95 produced broadly similar results. CVaR-90 achieved a CAGR of 0.79%, a Sharpe ratio of 0.147, a </w:t>
      </w:r>
      <w:proofErr w:type="spellStart"/>
      <w:r w:rsidRPr="00951DA1">
        <w:rPr>
          <w:lang w:val="en-GB"/>
        </w:rPr>
        <w:t>CVaR</w:t>
      </w:r>
      <w:proofErr w:type="spellEnd"/>
      <w:r w:rsidRPr="00951DA1">
        <w:rPr>
          <w:lang w:val="en-GB"/>
        </w:rPr>
        <w:t xml:space="preserve"> of 0.82%, and a maximum drawdown of -20.46%. These were close to the CVaR-95 baseline, which achieved a CAGR of 0.76%, a Sharpe ratio of 0.138, a </w:t>
      </w:r>
      <w:proofErr w:type="spellStart"/>
      <w:r w:rsidRPr="00951DA1">
        <w:rPr>
          <w:lang w:val="en-GB"/>
        </w:rPr>
        <w:t>CVaR</w:t>
      </w:r>
      <w:proofErr w:type="spellEnd"/>
      <w:r w:rsidRPr="00951DA1">
        <w:rPr>
          <w:lang w:val="en-GB"/>
        </w:rPr>
        <w:t xml:space="preserve"> of 0.82%, and a maximum drawdown of -20.55%. This suggests that the baseline alpha value was not highly sensitive relative to the 90% alternative.</w:t>
      </w:r>
    </w:p>
    <w:p w14:paraId="0904D2D5" w14:textId="77777777" w:rsidR="00951DA1" w:rsidRPr="00951DA1" w:rsidRDefault="00951DA1" w:rsidP="00951DA1">
      <w:pPr>
        <w:spacing w:before="80" w:after="60" w:line="259" w:lineRule="auto"/>
        <w:rPr>
          <w:lang w:val="en-GB"/>
        </w:rPr>
      </w:pPr>
      <w:r w:rsidRPr="00951DA1">
        <w:rPr>
          <w:lang w:val="en-GB"/>
        </w:rPr>
        <w:t xml:space="preserve">By contrast, the 99% confidence level was counterproductive. CVaR-99 recorded a lower CAGR of 0.23%, a lower Sharpe ratio of 0.039, a higher annualised volatility of 5.93%, a higher realised </w:t>
      </w:r>
      <w:proofErr w:type="spellStart"/>
      <w:r w:rsidRPr="00951DA1">
        <w:rPr>
          <w:lang w:val="en-GB"/>
        </w:rPr>
        <w:t>CVaR</w:t>
      </w:r>
      <w:proofErr w:type="spellEnd"/>
      <w:r w:rsidRPr="00951DA1">
        <w:rPr>
          <w:lang w:val="en-GB"/>
        </w:rPr>
        <w:t xml:space="preserve"> of 0.89%, and a deeper maximum drawdown of -22.56%. One explanation is that, with a 252-day estimation window, the 1% tail contains only about 2.5 observations. The optimisation is therefore driven by a very small number of extreme observations in each rolling window, which can make the resulting allocation less stable out of sample. For this reason, alpha = 0.95 was retained as the most defensible baseline setting.</w:t>
      </w:r>
    </w:p>
    <w:p w14:paraId="43F4CE69" w14:textId="3BAEABAC" w:rsidR="00951DA1" w:rsidRPr="00BD16C2" w:rsidRDefault="00951DA1" w:rsidP="004C35EF">
      <w:pPr>
        <w:spacing w:before="80" w:after="60" w:line="259" w:lineRule="auto"/>
        <w:rPr>
          <w:lang w:val="en-GB"/>
        </w:rPr>
      </w:pPr>
      <w:r w:rsidRPr="00951DA1">
        <w:rPr>
          <w:lang w:val="en-GB"/>
        </w:rPr>
        <w:t xml:space="preserve">Overall, the sensitivity analysis strengthens rather than weakens the baseline interpretation. CVaR-95 </w:t>
      </w:r>
      <w:r w:rsidRPr="00951DA1">
        <w:rPr>
          <w:lang w:val="en-GB"/>
        </w:rPr>
        <w:lastRenderedPageBreak/>
        <w:t xml:space="preserve">remained a defensive strategy under alternative window and rebalance settings, but it did not become the best return-adjusted performer. The 99% confidence level also showed that making the </w:t>
      </w:r>
      <w:proofErr w:type="spellStart"/>
      <w:r w:rsidRPr="00951DA1">
        <w:rPr>
          <w:lang w:val="en-GB"/>
        </w:rPr>
        <w:t>CVaR</w:t>
      </w:r>
      <w:proofErr w:type="spellEnd"/>
      <w:r w:rsidRPr="00951DA1">
        <w:rPr>
          <w:lang w:val="en-GB"/>
        </w:rPr>
        <w:t xml:space="preserve"> objective more extreme did not improve realised tail-risk control in this dataset. The robustness evidence therefore supports the main conclusion that </w:t>
      </w:r>
      <w:proofErr w:type="spellStart"/>
      <w:r w:rsidRPr="00951DA1">
        <w:rPr>
          <w:lang w:val="en-GB"/>
        </w:rPr>
        <w:t>CVaR</w:t>
      </w:r>
      <w:proofErr w:type="spellEnd"/>
      <w:r w:rsidRPr="00951DA1">
        <w:rPr>
          <w:lang w:val="en-GB"/>
        </w:rPr>
        <w:t>-minimisation reduced daily tail-risk metrics but involved a material return and Sharpe-ratio trade-off.</w:t>
      </w:r>
      <w:r w:rsidR="003E1700" w:rsidRPr="003E1700">
        <w:t xml:space="preserve"> Supporting sensitivity plots for the estimation-window, rebalancing-frequency, and </w:t>
      </w:r>
      <w:proofErr w:type="spellStart"/>
      <w:r w:rsidR="003E1700" w:rsidRPr="003E1700">
        <w:t>CVaR</w:t>
      </w:r>
      <w:proofErr w:type="spellEnd"/>
      <w:r w:rsidR="003E1700" w:rsidRPr="003E1700">
        <w:t xml:space="preserve">-confidence-level experiments </w:t>
      </w:r>
      <w:proofErr w:type="gramStart"/>
      <w:r w:rsidR="003E1700" w:rsidRPr="003E1700">
        <w:t>are provided</w:t>
      </w:r>
      <w:proofErr w:type="gramEnd"/>
      <w:r w:rsidR="003E1700" w:rsidRPr="003E1700">
        <w:t xml:space="preserve"> in Appendix A, Figs. 11–13.</w:t>
      </w:r>
    </w:p>
    <w:p w14:paraId="445275A5" w14:textId="77777777" w:rsidR="003D5B1C" w:rsidRDefault="003D5B1C" w:rsidP="004C35EF">
      <w:pPr>
        <w:spacing w:before="80" w:after="60" w:line="259" w:lineRule="auto"/>
      </w:pPr>
    </w:p>
    <w:p w14:paraId="63434245" w14:textId="651AB21C" w:rsidR="003D5B1C" w:rsidRPr="000D7C5E" w:rsidRDefault="003D5B1C" w:rsidP="004C35EF">
      <w:pPr>
        <w:pStyle w:val="ListParagraph"/>
        <w:numPr>
          <w:ilvl w:val="0"/>
          <w:numId w:val="18"/>
        </w:numPr>
        <w:spacing w:before="80" w:after="60" w:line="259" w:lineRule="auto"/>
        <w:rPr>
          <w:b/>
          <w:bCs/>
        </w:rPr>
      </w:pPr>
      <w:r w:rsidRPr="003D5B1C">
        <w:rPr>
          <w:b/>
          <w:bCs/>
        </w:rPr>
        <w:t>Discussion</w:t>
      </w:r>
    </w:p>
    <w:p w14:paraId="7ADA7E72" w14:textId="77777777" w:rsidR="00095DF2" w:rsidRPr="00095DF2" w:rsidRDefault="00095DF2" w:rsidP="00095DF2">
      <w:pPr>
        <w:spacing w:before="80" w:after="60" w:line="259" w:lineRule="auto"/>
        <w:rPr>
          <w:lang w:val="en-GB"/>
        </w:rPr>
      </w:pPr>
      <w:r w:rsidRPr="00095DF2">
        <w:rPr>
          <w:lang w:val="en-GB"/>
        </w:rPr>
        <w:t xml:space="preserve">The findings provide mixed evidence for the main hypothesis. The CVaR-95 strategy achieved the lowest </w:t>
      </w:r>
      <w:proofErr w:type="spellStart"/>
      <w:r w:rsidRPr="00095DF2">
        <w:rPr>
          <w:lang w:val="en-GB"/>
        </w:rPr>
        <w:t>CVaR</w:t>
      </w:r>
      <w:proofErr w:type="spellEnd"/>
      <w:r w:rsidRPr="00095DF2">
        <w:rPr>
          <w:lang w:val="en-GB"/>
        </w:rPr>
        <w:t xml:space="preserve"> value at 0.82%, compared with 0.84% for Minimum-Variance and 1.56% for Equal-Weight. This supports the part of the hypothesis stating that </w:t>
      </w:r>
      <w:proofErr w:type="spellStart"/>
      <w:r w:rsidRPr="00095DF2">
        <w:rPr>
          <w:lang w:val="en-GB"/>
        </w:rPr>
        <w:t>CVaR</w:t>
      </w:r>
      <w:proofErr w:type="spellEnd"/>
      <w:r w:rsidRPr="00095DF2">
        <w:rPr>
          <w:lang w:val="en-GB"/>
        </w:rPr>
        <w:t>-minimisation should improve tail-risk control. However, the same strategy did not achieve the lowest maximum drawdown. Minimum-Variance recorded the best maximum drawdown at -17.1%, compared with -20.6% for CVaR-95. In addition, CVaR-95 suffered a material deterioration in return-adjusted performance, with a Sharpe ratio of 0.138 compared with 0.555 for Equal-Weight. The hypothesis is therefore partially supported rather than fully supported.</w:t>
      </w:r>
    </w:p>
    <w:p w14:paraId="2B31E150" w14:textId="77777777" w:rsidR="00095DF2" w:rsidRPr="00095DF2" w:rsidRDefault="00095DF2" w:rsidP="00095DF2">
      <w:pPr>
        <w:spacing w:before="80" w:after="60" w:line="259" w:lineRule="auto"/>
        <w:rPr>
          <w:lang w:val="en-GB"/>
        </w:rPr>
      </w:pPr>
      <w:r w:rsidRPr="00095DF2">
        <w:rPr>
          <w:lang w:val="en-GB"/>
        </w:rPr>
        <w:t xml:space="preserve">The most reasonable interpretation is that </w:t>
      </w:r>
      <w:proofErr w:type="spellStart"/>
      <w:r w:rsidRPr="00095DF2">
        <w:rPr>
          <w:lang w:val="en-GB"/>
        </w:rPr>
        <w:t>CVaR</w:t>
      </w:r>
      <w:proofErr w:type="spellEnd"/>
      <w:r w:rsidRPr="00095DF2">
        <w:rPr>
          <w:lang w:val="en-GB"/>
        </w:rPr>
        <w:t xml:space="preserve">-minimisation acted as a defensive allocation rule, not as a return-maximising strategy. Its lower </w:t>
      </w:r>
      <w:proofErr w:type="spellStart"/>
      <w:r w:rsidRPr="00095DF2">
        <w:rPr>
          <w:lang w:val="en-GB"/>
        </w:rPr>
        <w:t>VaR</w:t>
      </w:r>
      <w:proofErr w:type="spellEnd"/>
      <w:r w:rsidRPr="00095DF2">
        <w:rPr>
          <w:lang w:val="en-GB"/>
        </w:rPr>
        <w:t xml:space="preserve"> and </w:t>
      </w:r>
      <w:proofErr w:type="spellStart"/>
      <w:r w:rsidRPr="00095DF2">
        <w:rPr>
          <w:lang w:val="en-GB"/>
        </w:rPr>
        <w:t>CVaR</w:t>
      </w:r>
      <w:proofErr w:type="spellEnd"/>
      <w:r w:rsidRPr="00095DF2">
        <w:rPr>
          <w:lang w:val="en-GB"/>
        </w:rPr>
        <w:t xml:space="preserve"> values show that it was effective for short-horizon tail-loss control. However, the weight evolution analysis shows that this protection was achieved by concentrating more heavily in government bond ETFs. That allocation reduced volatility and tail-risk exposure, but it also reduced participation in equity-market growth. This explains why CVaR-95 had lower annualised volatility than Equal-Weight but much lower CAGR and Sharpe performance.</w:t>
      </w:r>
    </w:p>
    <w:p w14:paraId="339D8451" w14:textId="77777777" w:rsidR="00095DF2" w:rsidRPr="00095DF2" w:rsidRDefault="00095DF2" w:rsidP="00095DF2">
      <w:pPr>
        <w:spacing w:before="80" w:after="60" w:line="259" w:lineRule="auto"/>
        <w:rPr>
          <w:lang w:val="en-GB"/>
        </w:rPr>
      </w:pPr>
      <w:r w:rsidRPr="00095DF2">
        <w:rPr>
          <w:lang w:val="en-GB"/>
        </w:rPr>
        <w:t xml:space="preserve">This result is consistent with the wider portfolio-optimisation literature discussed in Section II. Muñoz and Cifuentes [1] show that the choice of risk metric can materially affect portfolio allocations and risk profiles, but does not necessarily guarantee simple dominance by one formulation. The present study supports that point in a smaller and more transparent UCITS ETF setting. </w:t>
      </w:r>
      <w:proofErr w:type="spellStart"/>
      <w:r w:rsidRPr="00095DF2">
        <w:rPr>
          <w:lang w:val="en-GB"/>
        </w:rPr>
        <w:t>CVaR</w:t>
      </w:r>
      <w:proofErr w:type="spellEnd"/>
      <w:r w:rsidRPr="00095DF2">
        <w:rPr>
          <w:lang w:val="en-GB"/>
        </w:rPr>
        <w:t xml:space="preserve"> changed the allocation and improved the specific tail-risk measure it targeted, but it did not produce superior overall performance. Similarly, </w:t>
      </w:r>
      <w:proofErr w:type="spellStart"/>
      <w:r w:rsidRPr="00095DF2">
        <w:rPr>
          <w:lang w:val="en-GB"/>
        </w:rPr>
        <w:t>Teplova</w:t>
      </w:r>
      <w:proofErr w:type="spellEnd"/>
      <w:r w:rsidRPr="00095DF2">
        <w:rPr>
          <w:lang w:val="en-GB"/>
        </w:rPr>
        <w:t xml:space="preserve"> et al. [3] evaluate </w:t>
      </w:r>
      <w:proofErr w:type="spellStart"/>
      <w:r w:rsidRPr="00095DF2">
        <w:rPr>
          <w:lang w:val="en-GB"/>
        </w:rPr>
        <w:t>CVaR</w:t>
      </w:r>
      <w:proofErr w:type="spellEnd"/>
      <w:r w:rsidRPr="00095DF2">
        <w:rPr>
          <w:lang w:val="en-GB"/>
        </w:rPr>
        <w:t>-based ETF portfolios using benchmark comparisons and downside-risk measures, but their framework includes additional modelling elements such as Black-</w:t>
      </w:r>
      <w:proofErr w:type="spellStart"/>
      <w:r w:rsidRPr="00095DF2">
        <w:rPr>
          <w:lang w:val="en-GB"/>
        </w:rPr>
        <w:t>Litterman</w:t>
      </w:r>
      <w:proofErr w:type="spellEnd"/>
      <w:r w:rsidRPr="00095DF2">
        <w:rPr>
          <w:lang w:val="en-GB"/>
        </w:rPr>
        <w:t xml:space="preserve"> views and copula-based dependence modelling. The </w:t>
      </w:r>
      <w:r w:rsidRPr="00095DF2">
        <w:rPr>
          <w:lang w:val="en-GB"/>
        </w:rPr>
        <w:t xml:space="preserve">present study shows that a simpler </w:t>
      </w:r>
      <w:proofErr w:type="spellStart"/>
      <w:r w:rsidRPr="00095DF2">
        <w:rPr>
          <w:lang w:val="en-GB"/>
        </w:rPr>
        <w:t>CVaR</w:t>
      </w:r>
      <w:proofErr w:type="spellEnd"/>
      <w:r w:rsidRPr="00095DF2">
        <w:rPr>
          <w:lang w:val="en-GB"/>
        </w:rPr>
        <w:t>-minimisation design is easier to interpret, but may also be more limited in its ability to improve return-adjusted performance.</w:t>
      </w:r>
    </w:p>
    <w:p w14:paraId="3CE9F17D" w14:textId="77777777" w:rsidR="00095DF2" w:rsidRPr="00095DF2" w:rsidRDefault="00095DF2" w:rsidP="00095DF2">
      <w:pPr>
        <w:spacing w:before="80" w:after="60" w:line="259" w:lineRule="auto"/>
        <w:rPr>
          <w:lang w:val="en-GB"/>
        </w:rPr>
      </w:pPr>
      <w:r w:rsidRPr="00095DF2">
        <w:rPr>
          <w:lang w:val="en-GB"/>
        </w:rPr>
        <w:t xml:space="preserve">The findings also show why the Equal-Weight benchmark is important. Equal-Weight is simple, but it remained difficult to beat in this sample. Its constant exposure to all six ETFs allowed it to benefit from equity-market appreciation during the out-of-sample period. This does not invalidate the </w:t>
      </w:r>
      <w:proofErr w:type="spellStart"/>
      <w:r w:rsidRPr="00095DF2">
        <w:rPr>
          <w:lang w:val="en-GB"/>
        </w:rPr>
        <w:t>CVaR</w:t>
      </w:r>
      <w:proofErr w:type="spellEnd"/>
      <w:r w:rsidRPr="00095DF2">
        <w:rPr>
          <w:lang w:val="en-GB"/>
        </w:rPr>
        <w:t xml:space="preserve"> result, because the </w:t>
      </w:r>
      <w:proofErr w:type="spellStart"/>
      <w:r w:rsidRPr="00095DF2">
        <w:rPr>
          <w:lang w:val="en-GB"/>
        </w:rPr>
        <w:t>CVaR</w:t>
      </w:r>
      <w:proofErr w:type="spellEnd"/>
      <w:r w:rsidRPr="00095DF2">
        <w:rPr>
          <w:lang w:val="en-GB"/>
        </w:rPr>
        <w:t xml:space="preserve"> strategy did reduce </w:t>
      </w:r>
      <w:proofErr w:type="spellStart"/>
      <w:r w:rsidRPr="00095DF2">
        <w:rPr>
          <w:lang w:val="en-GB"/>
        </w:rPr>
        <w:t>VaR</w:t>
      </w:r>
      <w:proofErr w:type="spellEnd"/>
      <w:r w:rsidRPr="00095DF2">
        <w:rPr>
          <w:lang w:val="en-GB"/>
        </w:rPr>
        <w:t xml:space="preserve"> and </w:t>
      </w:r>
      <w:proofErr w:type="spellStart"/>
      <w:r w:rsidRPr="00095DF2">
        <w:rPr>
          <w:lang w:val="en-GB"/>
        </w:rPr>
        <w:t>CVaR</w:t>
      </w:r>
      <w:proofErr w:type="spellEnd"/>
      <w:r w:rsidRPr="00095DF2">
        <w:rPr>
          <w:lang w:val="en-GB"/>
        </w:rPr>
        <w:t xml:space="preserve">. However, it shows that downside-risk optimisation can sacrifice too much upside when the market environment rewards equity exposure. The result therefore supports a balanced interpretation: </w:t>
      </w:r>
      <w:proofErr w:type="spellStart"/>
      <w:r w:rsidRPr="00095DF2">
        <w:rPr>
          <w:lang w:val="en-GB"/>
        </w:rPr>
        <w:t>CVaR</w:t>
      </w:r>
      <w:proofErr w:type="spellEnd"/>
      <w:r w:rsidRPr="00095DF2">
        <w:rPr>
          <w:lang w:val="en-GB"/>
        </w:rPr>
        <w:t xml:space="preserve"> was useful for daily tail-risk control, but Equal-Weight was superior for return and conventional risk-adjusted performance.</w:t>
      </w:r>
    </w:p>
    <w:p w14:paraId="75E22EFC" w14:textId="77777777" w:rsidR="00095DF2" w:rsidRPr="00095DF2" w:rsidRDefault="00095DF2" w:rsidP="00095DF2">
      <w:pPr>
        <w:spacing w:before="80" w:after="60" w:line="259" w:lineRule="auto"/>
        <w:rPr>
          <w:lang w:val="en-GB"/>
        </w:rPr>
      </w:pPr>
      <w:r w:rsidRPr="00095DF2">
        <w:rPr>
          <w:lang w:val="en-GB"/>
        </w:rPr>
        <w:t xml:space="preserve">From a validity perspective, the findings are supported by the controlled experimental design. All three strategies were tested on the same ETF universe, using the same EUR-aligned return data, long-only fully invested constraints, rolling </w:t>
      </w:r>
      <w:proofErr w:type="spellStart"/>
      <w:r w:rsidRPr="00095DF2">
        <w:rPr>
          <w:lang w:val="en-GB"/>
        </w:rPr>
        <w:t>backtest</w:t>
      </w:r>
      <w:proofErr w:type="spellEnd"/>
      <w:r w:rsidRPr="00095DF2">
        <w:rPr>
          <w:lang w:val="en-GB"/>
        </w:rPr>
        <w:t xml:space="preserve"> logic, and evaluation metrics. This strengthens internal validity because the main intended difference between the strategies was the portfolio-construction rule. Reliability was also supported by the repeatable data preparation, </w:t>
      </w:r>
      <w:proofErr w:type="spellStart"/>
      <w:r w:rsidRPr="00095DF2">
        <w:rPr>
          <w:lang w:val="en-GB"/>
        </w:rPr>
        <w:t>backtesting</w:t>
      </w:r>
      <w:proofErr w:type="spellEnd"/>
      <w:r w:rsidRPr="00095DF2">
        <w:rPr>
          <w:lang w:val="en-GB"/>
        </w:rPr>
        <w:t>, metric calculation, and sensitivity-analysis pipeline.</w:t>
      </w:r>
    </w:p>
    <w:p w14:paraId="01316CF1" w14:textId="77777777" w:rsidR="00095DF2" w:rsidRPr="00095DF2" w:rsidRDefault="00095DF2" w:rsidP="00095DF2">
      <w:pPr>
        <w:spacing w:before="80" w:after="60" w:line="259" w:lineRule="auto"/>
        <w:rPr>
          <w:lang w:val="en-GB"/>
        </w:rPr>
      </w:pPr>
      <w:r w:rsidRPr="00095DF2">
        <w:rPr>
          <w:lang w:val="en-GB"/>
        </w:rPr>
        <w:t xml:space="preserve">However, the findings should not be generalised beyond the scope of the study. The ETF universe contained only six UCITS ETFs, and the realised out-of-sample period was 2017–2025. Different ETF baskets, different asset classes, different fee assumptions, transaction-cost modelling, or a different market period could produce different results. The study should therefore be read as a controlled benchmark comparison in a Malta-accessible UCITS ETF context, not as universal proof that </w:t>
      </w:r>
      <w:proofErr w:type="spellStart"/>
      <w:r w:rsidRPr="00095DF2">
        <w:rPr>
          <w:lang w:val="en-GB"/>
        </w:rPr>
        <w:t>CVaR</w:t>
      </w:r>
      <w:proofErr w:type="spellEnd"/>
      <w:r w:rsidRPr="00095DF2">
        <w:rPr>
          <w:lang w:val="en-GB"/>
        </w:rPr>
        <w:t>-minimisation is either superior or inferior in all portfolio settings.</w:t>
      </w:r>
    </w:p>
    <w:p w14:paraId="394F7765" w14:textId="77EC1EBE" w:rsidR="003D5B1C" w:rsidRDefault="00095DF2" w:rsidP="004C35EF">
      <w:pPr>
        <w:spacing w:before="80" w:after="60" w:line="259" w:lineRule="auto"/>
        <w:rPr>
          <w:lang w:val="en-GB"/>
        </w:rPr>
      </w:pPr>
      <w:r w:rsidRPr="00095DF2">
        <w:rPr>
          <w:lang w:val="en-GB"/>
        </w:rPr>
        <w:t xml:space="preserve">Overall, the results answer the main research question by showing that </w:t>
      </w:r>
      <w:proofErr w:type="spellStart"/>
      <w:r w:rsidRPr="00095DF2">
        <w:rPr>
          <w:lang w:val="en-GB"/>
        </w:rPr>
        <w:t>CVaR</w:t>
      </w:r>
      <w:proofErr w:type="spellEnd"/>
      <w:r w:rsidRPr="00095DF2">
        <w:rPr>
          <w:lang w:val="en-GB"/>
        </w:rPr>
        <w:t xml:space="preserve">-minimisation can improve daily tail-risk metrics compared with Equal-Weight and Minimum-Variance, but not without a material deterioration in return and Sharpe ratio. The practical implication is that </w:t>
      </w:r>
      <w:proofErr w:type="spellStart"/>
      <w:r w:rsidRPr="00095DF2">
        <w:rPr>
          <w:lang w:val="en-GB"/>
        </w:rPr>
        <w:t>CVaR</w:t>
      </w:r>
      <w:proofErr w:type="spellEnd"/>
      <w:r w:rsidRPr="00095DF2">
        <w:rPr>
          <w:lang w:val="en-GB"/>
        </w:rPr>
        <w:t xml:space="preserve">-minimisation may be suitable where short-horizon tail-loss control is the main priority. However, for investors who also require competitive return and risk-adjusted performance, a simple </w:t>
      </w:r>
      <w:proofErr w:type="spellStart"/>
      <w:r w:rsidRPr="00095DF2">
        <w:rPr>
          <w:lang w:val="en-GB"/>
        </w:rPr>
        <w:t>CVaR</w:t>
      </w:r>
      <w:proofErr w:type="spellEnd"/>
      <w:r w:rsidRPr="00095DF2">
        <w:rPr>
          <w:lang w:val="en-GB"/>
        </w:rPr>
        <w:t>-minimisation rule may need to be combined with additional constraints, return targets, or broader optimisation design.</w:t>
      </w:r>
    </w:p>
    <w:p w14:paraId="43CB936A" w14:textId="77777777" w:rsidR="00023EDA" w:rsidRDefault="00023EDA" w:rsidP="004C35EF">
      <w:pPr>
        <w:spacing w:before="80" w:after="60" w:line="259" w:lineRule="auto"/>
        <w:rPr>
          <w:lang w:val="en-GB"/>
        </w:rPr>
      </w:pPr>
    </w:p>
    <w:p w14:paraId="6DDB0777" w14:textId="7EF1C49A" w:rsidR="00023EDA" w:rsidRPr="00947E92" w:rsidRDefault="00023EDA" w:rsidP="004C35EF">
      <w:pPr>
        <w:spacing w:before="80" w:after="60" w:line="259" w:lineRule="auto"/>
        <w:rPr>
          <w:b/>
          <w:sz w:val="20"/>
        </w:rPr>
      </w:pPr>
      <w:r w:rsidRPr="00023EDA">
        <w:rPr>
          <w:b/>
          <w:sz w:val="20"/>
        </w:rPr>
        <w:t>V. CONCLUSION</w:t>
      </w:r>
    </w:p>
    <w:p w14:paraId="65C89604" w14:textId="77777777" w:rsidR="00E70C9B" w:rsidRPr="00E70C9B" w:rsidRDefault="00E70C9B" w:rsidP="00E70C9B">
      <w:pPr>
        <w:spacing w:before="80" w:after="60" w:line="259" w:lineRule="auto"/>
        <w:rPr>
          <w:lang w:val="en-GB"/>
        </w:rPr>
      </w:pPr>
      <w:r w:rsidRPr="00E70C9B">
        <w:rPr>
          <w:lang w:val="en-GB"/>
        </w:rPr>
        <w:lastRenderedPageBreak/>
        <w:t xml:space="preserve">This study examined whether </w:t>
      </w:r>
      <w:proofErr w:type="spellStart"/>
      <w:r w:rsidRPr="00E70C9B">
        <w:rPr>
          <w:lang w:val="en-GB"/>
        </w:rPr>
        <w:t>CVaR</w:t>
      </w:r>
      <w:proofErr w:type="spellEnd"/>
      <w:r w:rsidRPr="00E70C9B">
        <w:rPr>
          <w:lang w:val="en-GB"/>
        </w:rPr>
        <w:t>-minimisation provides stronger downside-risk control than Equal-Weight and Minimum-Variance portfolio construction in a Malta-accessible UCITS ETF basket. The research was structured around three questions covering the dataset, the portfolio-construction process, and the evaluation of out-of-sample performance.</w:t>
      </w:r>
    </w:p>
    <w:p w14:paraId="5B3009A4" w14:textId="77777777" w:rsidR="00E70C9B" w:rsidRPr="00E70C9B" w:rsidRDefault="00E70C9B" w:rsidP="00E70C9B">
      <w:pPr>
        <w:spacing w:before="80" w:after="60" w:line="259" w:lineRule="auto"/>
        <w:rPr>
          <w:lang w:val="en-GB"/>
        </w:rPr>
      </w:pPr>
      <w:r w:rsidRPr="00E70C9B">
        <w:rPr>
          <w:lang w:val="en-GB"/>
        </w:rPr>
        <w:t xml:space="preserve">RQ1 concerned the dataset and investable basket. The study showed that a fixed six-ETF UCITS basket could be used to create a consistent and transparent dataset for portfolio </w:t>
      </w:r>
      <w:proofErr w:type="spellStart"/>
      <w:r w:rsidRPr="00E70C9B">
        <w:rPr>
          <w:lang w:val="en-GB"/>
        </w:rPr>
        <w:t>backtesting</w:t>
      </w:r>
      <w:proofErr w:type="spellEnd"/>
      <w:r w:rsidRPr="00E70C9B">
        <w:rPr>
          <w:lang w:val="en-GB"/>
        </w:rPr>
        <w:t>. The selected ETFs provided exposure to major equity markets and government-bond sleeves, while EUR alignment allowed the strategies to be compared under a common reporting currency. This provided a suitable controlled dataset for the scope of the research, although it remained smaller than the broader asset universes used in some portfolio-optimisation studies.</w:t>
      </w:r>
    </w:p>
    <w:p w14:paraId="5CEED1E3" w14:textId="77777777" w:rsidR="00E70C9B" w:rsidRPr="00E70C9B" w:rsidRDefault="00E70C9B" w:rsidP="00E70C9B">
      <w:pPr>
        <w:spacing w:before="80" w:after="60" w:line="259" w:lineRule="auto"/>
        <w:rPr>
          <w:lang w:val="en-GB"/>
        </w:rPr>
      </w:pPr>
      <w:r w:rsidRPr="00E70C9B">
        <w:rPr>
          <w:lang w:val="en-GB"/>
        </w:rPr>
        <w:t xml:space="preserve">RQ2 concerned the portfolio-construction process. Under identical long-only and fully invested constraints, </w:t>
      </w:r>
      <w:proofErr w:type="spellStart"/>
      <w:r w:rsidRPr="00E70C9B">
        <w:rPr>
          <w:lang w:val="en-GB"/>
        </w:rPr>
        <w:t>CVaR</w:t>
      </w:r>
      <w:proofErr w:type="spellEnd"/>
      <w:r w:rsidRPr="00E70C9B">
        <w:rPr>
          <w:lang w:val="en-GB"/>
        </w:rPr>
        <w:t>-minimisation behaved as a defensive allocation rule. It did not behave like Equal-Weight, which maintained constant exposure to all six ETFs, but was closer to Minimum-Variance in its preference for lower-risk and lower-correlation bond exposures. This confirmed that changing the portfolio-construction rule affected the resulting allocation, which is consistent with the reviewed literature on risk-metric choice and portfolio behaviour [1], [3].</w:t>
      </w:r>
    </w:p>
    <w:p w14:paraId="50F6CE3A" w14:textId="77777777" w:rsidR="00E70C9B" w:rsidRPr="00E70C9B" w:rsidRDefault="00E70C9B" w:rsidP="00E70C9B">
      <w:pPr>
        <w:spacing w:before="80" w:after="60" w:line="259" w:lineRule="auto"/>
        <w:rPr>
          <w:lang w:val="en-GB"/>
        </w:rPr>
      </w:pPr>
      <w:r w:rsidRPr="00E70C9B">
        <w:rPr>
          <w:lang w:val="en-GB"/>
        </w:rPr>
        <w:t xml:space="preserve">RQ3 concerned evaluation and testing. The out-of-sample results showed that Equal-Weight achieved the strongest return and risk-adjusted performance, with the highest CAGR and Sharpe ratio. CVaR-95 achieved the lowest </w:t>
      </w:r>
      <w:proofErr w:type="spellStart"/>
      <w:r w:rsidRPr="00E70C9B">
        <w:rPr>
          <w:lang w:val="en-GB"/>
        </w:rPr>
        <w:t>VaR</w:t>
      </w:r>
      <w:proofErr w:type="spellEnd"/>
      <w:r w:rsidRPr="00E70C9B">
        <w:rPr>
          <w:lang w:val="en-GB"/>
        </w:rPr>
        <w:t xml:space="preserve"> and </w:t>
      </w:r>
      <w:proofErr w:type="spellStart"/>
      <w:r w:rsidRPr="00E70C9B">
        <w:rPr>
          <w:lang w:val="en-GB"/>
        </w:rPr>
        <w:t>CVaR</w:t>
      </w:r>
      <w:proofErr w:type="spellEnd"/>
      <w:r w:rsidRPr="00E70C9B">
        <w:rPr>
          <w:lang w:val="en-GB"/>
        </w:rPr>
        <w:t xml:space="preserve"> values, which supports the part of the hypothesis related to daily tail-loss control. However, it did not achieve the lowest maximum drawdown, and its CAGR and Sharpe ratio were materially lower than Equal-Weight. Minimum-Variance achieved the best maximum drawdown. Therefore, the main hypothesis was only partially supported: </w:t>
      </w:r>
      <w:proofErr w:type="spellStart"/>
      <w:r w:rsidRPr="00E70C9B">
        <w:rPr>
          <w:lang w:val="en-GB"/>
        </w:rPr>
        <w:t>CVaR</w:t>
      </w:r>
      <w:proofErr w:type="spellEnd"/>
      <w:r w:rsidRPr="00E70C9B">
        <w:rPr>
          <w:lang w:val="en-GB"/>
        </w:rPr>
        <w:t>-minimisation improved the specific tail-risk metrics it targeted, but it did not dominate the benchmark strategies across all downside-risk and return-adjusted measures.</w:t>
      </w:r>
    </w:p>
    <w:p w14:paraId="27525BF7" w14:textId="77777777" w:rsidR="00E70C9B" w:rsidRPr="00E70C9B" w:rsidRDefault="00E70C9B" w:rsidP="00E70C9B">
      <w:pPr>
        <w:spacing w:before="80" w:after="60" w:line="259" w:lineRule="auto"/>
        <w:rPr>
          <w:lang w:val="en-GB"/>
        </w:rPr>
      </w:pPr>
      <w:r w:rsidRPr="00E70C9B">
        <w:rPr>
          <w:lang w:val="en-GB"/>
        </w:rPr>
        <w:t xml:space="preserve">Overall, the study achieved its main aim to a reasonable extent. It implemented the three strategies under the same dataset, constraints, rolling </w:t>
      </w:r>
      <w:proofErr w:type="spellStart"/>
      <w:r w:rsidRPr="00E70C9B">
        <w:rPr>
          <w:lang w:val="en-GB"/>
        </w:rPr>
        <w:t>backtest</w:t>
      </w:r>
      <w:proofErr w:type="spellEnd"/>
      <w:r w:rsidRPr="00E70C9B">
        <w:rPr>
          <w:lang w:val="en-GB"/>
        </w:rPr>
        <w:t xml:space="preserve"> design, and evaluation metrics, and produced a clear empirical comparison. However, the results also showed that a simple </w:t>
      </w:r>
      <w:proofErr w:type="spellStart"/>
      <w:r w:rsidRPr="00E70C9B">
        <w:rPr>
          <w:lang w:val="en-GB"/>
        </w:rPr>
        <w:t>CVaR</w:t>
      </w:r>
      <w:proofErr w:type="spellEnd"/>
      <w:r w:rsidRPr="00E70C9B">
        <w:rPr>
          <w:lang w:val="en-GB"/>
        </w:rPr>
        <w:t xml:space="preserve">-minimisation framework is not automatically superior. Its defensive allocation reduced short-horizon tail-risk, but this came at the cost of weaker participation in equity-market growth. This explains why the </w:t>
      </w:r>
      <w:proofErr w:type="spellStart"/>
      <w:r w:rsidRPr="00E70C9B">
        <w:rPr>
          <w:lang w:val="en-GB"/>
        </w:rPr>
        <w:t>CVaR</w:t>
      </w:r>
      <w:proofErr w:type="spellEnd"/>
      <w:r w:rsidRPr="00E70C9B">
        <w:rPr>
          <w:lang w:val="en-GB"/>
        </w:rPr>
        <w:t xml:space="preserve"> strategy reduced </w:t>
      </w:r>
      <w:proofErr w:type="spellStart"/>
      <w:r w:rsidRPr="00E70C9B">
        <w:rPr>
          <w:lang w:val="en-GB"/>
        </w:rPr>
        <w:t>VaR</w:t>
      </w:r>
      <w:proofErr w:type="spellEnd"/>
      <w:r w:rsidRPr="00E70C9B">
        <w:rPr>
          <w:lang w:val="en-GB"/>
        </w:rPr>
        <w:t xml:space="preserve"> and </w:t>
      </w:r>
      <w:proofErr w:type="spellStart"/>
      <w:r w:rsidRPr="00E70C9B">
        <w:rPr>
          <w:lang w:val="en-GB"/>
        </w:rPr>
        <w:t>CVaR</w:t>
      </w:r>
      <w:proofErr w:type="spellEnd"/>
      <w:r w:rsidRPr="00E70C9B">
        <w:rPr>
          <w:lang w:val="en-GB"/>
        </w:rPr>
        <w:t>, but did not preserve competitive CAGR or Sharpe performance.</w:t>
      </w:r>
    </w:p>
    <w:p w14:paraId="1D9EE4DB" w14:textId="77777777" w:rsidR="00E70C9B" w:rsidRPr="00E70C9B" w:rsidRDefault="00E70C9B" w:rsidP="00E70C9B">
      <w:pPr>
        <w:spacing w:before="80" w:after="60" w:line="259" w:lineRule="auto"/>
        <w:rPr>
          <w:lang w:val="en-GB"/>
        </w:rPr>
      </w:pPr>
      <w:r w:rsidRPr="00E70C9B">
        <w:rPr>
          <w:lang w:val="en-GB"/>
        </w:rPr>
        <w:t xml:space="preserve">The findings should be interpreted within the limits of the research design. The study used a small six-ETF UCITS basket, a specific 2017–2025 realised out-of-sample period, market-price data, and a simplified </w:t>
      </w:r>
      <w:proofErr w:type="spellStart"/>
      <w:r w:rsidRPr="00E70C9B">
        <w:rPr>
          <w:lang w:val="en-GB"/>
        </w:rPr>
        <w:t>backtest</w:t>
      </w:r>
      <w:proofErr w:type="spellEnd"/>
      <w:r w:rsidRPr="00E70C9B">
        <w:rPr>
          <w:lang w:val="en-GB"/>
        </w:rPr>
        <w:t xml:space="preserve"> without a full transaction-cost or tax model. These choices supported transparency and feasibility, but they also limit generalisability. The results should therefore be read as evidence from a controlled Malta-accessible ETF comparison, not as a universal conclusion about all </w:t>
      </w:r>
      <w:proofErr w:type="spellStart"/>
      <w:r w:rsidRPr="00E70C9B">
        <w:rPr>
          <w:lang w:val="en-GB"/>
        </w:rPr>
        <w:t>CVaR</w:t>
      </w:r>
      <w:proofErr w:type="spellEnd"/>
      <w:r w:rsidRPr="00E70C9B">
        <w:rPr>
          <w:lang w:val="en-GB"/>
        </w:rPr>
        <w:t>-based portfolios.</w:t>
      </w:r>
    </w:p>
    <w:p w14:paraId="0F477C28" w14:textId="6C51B69E" w:rsidR="00E70C9B" w:rsidRDefault="00E70C9B" w:rsidP="004C35EF">
      <w:pPr>
        <w:spacing w:before="80" w:after="60" w:line="259" w:lineRule="auto"/>
        <w:rPr>
          <w:lang w:val="en-GB"/>
        </w:rPr>
      </w:pPr>
      <w:r w:rsidRPr="00E70C9B">
        <w:rPr>
          <w:lang w:val="en-GB"/>
        </w:rPr>
        <w:t xml:space="preserve">Future research should extend this work in several directions. First, a larger UCITS ETF universe could be tested to see whether </w:t>
      </w:r>
      <w:proofErr w:type="spellStart"/>
      <w:r w:rsidRPr="00E70C9B">
        <w:rPr>
          <w:lang w:val="en-GB"/>
        </w:rPr>
        <w:t>CVaR</w:t>
      </w:r>
      <w:proofErr w:type="spellEnd"/>
      <w:r w:rsidRPr="00E70C9B">
        <w:rPr>
          <w:lang w:val="en-GB"/>
        </w:rPr>
        <w:t xml:space="preserve">-minimisation performs differently when more asset classes and regions are available. Second, future work should include transaction costs, bid-ask spreads, taxes, and fund fees to make the </w:t>
      </w:r>
      <w:proofErr w:type="spellStart"/>
      <w:r w:rsidRPr="00E70C9B">
        <w:rPr>
          <w:lang w:val="en-GB"/>
        </w:rPr>
        <w:t>backtest</w:t>
      </w:r>
      <w:proofErr w:type="spellEnd"/>
      <w:r w:rsidRPr="00E70C9B">
        <w:rPr>
          <w:lang w:val="en-GB"/>
        </w:rPr>
        <w:t xml:space="preserve"> closer to real investor implementation. Third, researchers could compare exchange market-price data with official NAV-based fund data where available. Fourth, more advanced </w:t>
      </w:r>
      <w:proofErr w:type="spellStart"/>
      <w:r w:rsidRPr="00E70C9B">
        <w:rPr>
          <w:lang w:val="en-GB"/>
        </w:rPr>
        <w:t>CVaR</w:t>
      </w:r>
      <w:proofErr w:type="spellEnd"/>
      <w:r w:rsidRPr="00E70C9B">
        <w:rPr>
          <w:lang w:val="en-GB"/>
        </w:rPr>
        <w:t xml:space="preserve"> frameworks, such as mean-</w:t>
      </w:r>
      <w:proofErr w:type="spellStart"/>
      <w:r w:rsidRPr="00E70C9B">
        <w:rPr>
          <w:lang w:val="en-GB"/>
        </w:rPr>
        <w:t>CVaR</w:t>
      </w:r>
      <w:proofErr w:type="spellEnd"/>
      <w:r w:rsidRPr="00E70C9B">
        <w:rPr>
          <w:lang w:val="en-GB"/>
        </w:rPr>
        <w:t xml:space="preserve">, target-return </w:t>
      </w:r>
      <w:proofErr w:type="spellStart"/>
      <w:r w:rsidRPr="00E70C9B">
        <w:rPr>
          <w:lang w:val="en-GB"/>
        </w:rPr>
        <w:t>CVaR</w:t>
      </w:r>
      <w:proofErr w:type="spellEnd"/>
      <w:r w:rsidRPr="00E70C9B">
        <w:rPr>
          <w:lang w:val="en-GB"/>
        </w:rPr>
        <w:t>, Black-</w:t>
      </w:r>
      <w:proofErr w:type="spellStart"/>
      <w:r w:rsidRPr="00E70C9B">
        <w:rPr>
          <w:lang w:val="en-GB"/>
        </w:rPr>
        <w:t>Litterman</w:t>
      </w:r>
      <w:proofErr w:type="spellEnd"/>
      <w:r w:rsidRPr="00E70C9B">
        <w:rPr>
          <w:lang w:val="en-GB"/>
        </w:rPr>
        <w:t xml:space="preserve"> mean-</w:t>
      </w:r>
      <w:proofErr w:type="spellStart"/>
      <w:r w:rsidRPr="00E70C9B">
        <w:rPr>
          <w:lang w:val="en-GB"/>
        </w:rPr>
        <w:t>CVaR</w:t>
      </w:r>
      <w:proofErr w:type="spellEnd"/>
      <w:r w:rsidRPr="00E70C9B">
        <w:rPr>
          <w:lang w:val="en-GB"/>
        </w:rPr>
        <w:t xml:space="preserve">, or regime-based optimisation, could be tested against the simple </w:t>
      </w:r>
      <w:proofErr w:type="spellStart"/>
      <w:r w:rsidRPr="00E70C9B">
        <w:rPr>
          <w:lang w:val="en-GB"/>
        </w:rPr>
        <w:t>CVaR</w:t>
      </w:r>
      <w:proofErr w:type="spellEnd"/>
      <w:r w:rsidRPr="00E70C9B">
        <w:rPr>
          <w:lang w:val="en-GB"/>
        </w:rPr>
        <w:t xml:space="preserve">-minimisation approach used here. Finally, future studies could examine whether </w:t>
      </w:r>
      <w:proofErr w:type="spellStart"/>
      <w:r w:rsidRPr="00E70C9B">
        <w:rPr>
          <w:lang w:val="en-GB"/>
        </w:rPr>
        <w:t>CVaR</w:t>
      </w:r>
      <w:proofErr w:type="spellEnd"/>
      <w:r w:rsidRPr="00E70C9B">
        <w:rPr>
          <w:lang w:val="en-GB"/>
        </w:rPr>
        <w:t xml:space="preserve"> performs better during specific stress periods rather than over the whole out-of-sample period. These extensions would help determine whether the weakness found in this study was due to the </w:t>
      </w:r>
      <w:proofErr w:type="spellStart"/>
      <w:r w:rsidRPr="00E70C9B">
        <w:rPr>
          <w:lang w:val="en-GB"/>
        </w:rPr>
        <w:t>CVaR</w:t>
      </w:r>
      <w:proofErr w:type="spellEnd"/>
      <w:r w:rsidRPr="00E70C9B">
        <w:rPr>
          <w:lang w:val="en-GB"/>
        </w:rPr>
        <w:t xml:space="preserve"> objective itself, the small ETF universe, or the chosen market period.</w:t>
      </w:r>
    </w:p>
    <w:p w14:paraId="77493DEA" w14:textId="77777777" w:rsidR="001F02F0" w:rsidRDefault="001F02F0" w:rsidP="004C35EF">
      <w:pPr>
        <w:spacing w:before="80" w:after="60" w:line="259" w:lineRule="auto"/>
        <w:rPr>
          <w:lang w:val="en-GB"/>
        </w:rPr>
      </w:pPr>
    </w:p>
    <w:p w14:paraId="4A74FBD3" w14:textId="77777777" w:rsidR="001F02F0" w:rsidRPr="001F02F0" w:rsidRDefault="001F02F0" w:rsidP="001F02F0">
      <w:pPr>
        <w:spacing w:before="80" w:after="60" w:line="259" w:lineRule="auto"/>
        <w:rPr>
          <w:b/>
          <w:sz w:val="20"/>
        </w:rPr>
      </w:pPr>
      <w:r w:rsidRPr="001F02F0">
        <w:rPr>
          <w:b/>
          <w:sz w:val="20"/>
        </w:rPr>
        <w:t>APPENDIX A</w:t>
      </w:r>
    </w:p>
    <w:p w14:paraId="59451643" w14:textId="04EDBA4D" w:rsidR="001F02F0" w:rsidRPr="001F02F0" w:rsidRDefault="001F02F0" w:rsidP="001F02F0">
      <w:pPr>
        <w:spacing w:before="80" w:after="60" w:line="259" w:lineRule="auto"/>
        <w:rPr>
          <w:b/>
          <w:sz w:val="20"/>
        </w:rPr>
      </w:pPr>
      <w:r w:rsidRPr="001F02F0">
        <w:rPr>
          <w:b/>
          <w:sz w:val="20"/>
        </w:rPr>
        <w:t>SUPPORTING MATERIAL</w:t>
      </w:r>
    </w:p>
    <w:p w14:paraId="5862F71A" w14:textId="4D9457C8" w:rsidR="00E30076" w:rsidRDefault="00E30076" w:rsidP="001C50E8">
      <w:pPr>
        <w:spacing w:before="80" w:after="60" w:line="259" w:lineRule="auto"/>
        <w:rPr>
          <w:lang w:val="en-GB"/>
        </w:rPr>
      </w:pPr>
    </w:p>
    <w:p w14:paraId="3E1F9B6E" w14:textId="1A7C4E78" w:rsidR="00FF11A5" w:rsidRDefault="002643A8" w:rsidP="002643A8">
      <w:pPr>
        <w:spacing w:before="80" w:after="60" w:line="259" w:lineRule="auto"/>
        <w:rPr>
          <w:lang w:val="en-GB"/>
        </w:rPr>
      </w:pPr>
      <w:r w:rsidRPr="002643A8">
        <w:rPr>
          <w:lang w:val="en-GB"/>
        </w:rPr>
        <w:t xml:space="preserve">[Insert Fig. </w:t>
      </w:r>
      <w:r w:rsidR="006E477B">
        <w:rPr>
          <w:lang w:val="en-GB"/>
        </w:rPr>
        <w:t>6</w:t>
      </w:r>
      <w:r w:rsidRPr="002643A8">
        <w:rPr>
          <w:lang w:val="en-GB"/>
        </w:rPr>
        <w:t xml:space="preserve"> here]</w:t>
      </w:r>
      <w:r w:rsidRPr="002643A8">
        <w:rPr>
          <w:lang w:val="en-GB"/>
        </w:rPr>
        <w:br/>
      </w:r>
      <w:r w:rsidRPr="002643A8">
        <w:rPr>
          <w:lang w:val="en-GB"/>
        </w:rPr>
        <w:br/>
        <w:t xml:space="preserve">Fig. </w:t>
      </w:r>
      <w:r w:rsidR="006E477B">
        <w:rPr>
          <w:lang w:val="en-GB"/>
        </w:rPr>
        <w:t>6</w:t>
      </w:r>
      <w:r w:rsidRPr="002643A8">
        <w:rPr>
          <w:lang w:val="en-GB"/>
        </w:rPr>
        <w:t>. Comparison of performance and downside-risk metrics across the three strategies.</w:t>
      </w:r>
      <w:r w:rsidRPr="002643A8">
        <w:rPr>
          <w:lang w:val="en-GB"/>
        </w:rPr>
        <w:br/>
      </w:r>
      <w:r w:rsidRPr="002643A8">
        <w:rPr>
          <w:lang w:val="en-GB"/>
        </w:rPr>
        <w:br/>
        <w:t>[Insert Fig. 7 here]</w:t>
      </w:r>
      <w:r w:rsidRPr="002643A8">
        <w:rPr>
          <w:lang w:val="en-GB"/>
        </w:rPr>
        <w:br/>
      </w:r>
      <w:r w:rsidRPr="002643A8">
        <w:rPr>
          <w:lang w:val="en-GB"/>
        </w:rPr>
        <w:br/>
        <w:t xml:space="preserve">Fig. </w:t>
      </w:r>
      <w:r w:rsidR="000E49F9">
        <w:rPr>
          <w:lang w:val="en-GB"/>
        </w:rPr>
        <w:t>7</w:t>
      </w:r>
      <w:r w:rsidRPr="002643A8">
        <w:rPr>
          <w:lang w:val="en-GB"/>
        </w:rPr>
        <w:t>. Equal-Weight allocation through time.</w:t>
      </w:r>
      <w:r w:rsidRPr="002643A8">
        <w:rPr>
          <w:lang w:val="en-GB"/>
        </w:rPr>
        <w:br/>
      </w:r>
      <w:r w:rsidRPr="002643A8">
        <w:rPr>
          <w:lang w:val="en-GB"/>
        </w:rPr>
        <w:br/>
        <w:t>[Insert Fig. 8 here]</w:t>
      </w:r>
      <w:r w:rsidRPr="002643A8">
        <w:rPr>
          <w:lang w:val="en-GB"/>
        </w:rPr>
        <w:br/>
      </w:r>
      <w:r w:rsidRPr="002643A8">
        <w:rPr>
          <w:lang w:val="en-GB"/>
        </w:rPr>
        <w:br/>
        <w:t xml:space="preserve">Fig. </w:t>
      </w:r>
      <w:r w:rsidR="000E49F9">
        <w:rPr>
          <w:lang w:val="en-GB"/>
        </w:rPr>
        <w:t>8</w:t>
      </w:r>
      <w:r w:rsidRPr="002643A8">
        <w:rPr>
          <w:lang w:val="en-GB"/>
        </w:rPr>
        <w:t>. Minimum-Variance allocation through time.</w:t>
      </w:r>
      <w:r w:rsidRPr="002643A8">
        <w:rPr>
          <w:lang w:val="en-GB"/>
        </w:rPr>
        <w:br/>
      </w:r>
      <w:r w:rsidRPr="002643A8">
        <w:rPr>
          <w:lang w:val="en-GB"/>
        </w:rPr>
        <w:br/>
        <w:t>[Insert Fig. 9 here]</w:t>
      </w:r>
      <w:r w:rsidRPr="002643A8">
        <w:rPr>
          <w:lang w:val="en-GB"/>
        </w:rPr>
        <w:br/>
      </w:r>
      <w:r w:rsidRPr="002643A8">
        <w:rPr>
          <w:lang w:val="en-GB"/>
        </w:rPr>
        <w:br/>
        <w:t xml:space="preserve">Fig. </w:t>
      </w:r>
      <w:r w:rsidR="000E49F9">
        <w:rPr>
          <w:lang w:val="en-GB"/>
        </w:rPr>
        <w:t>9</w:t>
      </w:r>
      <w:r w:rsidRPr="002643A8">
        <w:rPr>
          <w:lang w:val="en-GB"/>
        </w:rPr>
        <w:t>. CVaR-95 allocation through time.</w:t>
      </w:r>
    </w:p>
    <w:p w14:paraId="58DE3515" w14:textId="77777777" w:rsidR="00FF11A5" w:rsidRDefault="00FF11A5" w:rsidP="002643A8">
      <w:pPr>
        <w:spacing w:before="80" w:after="60" w:line="259" w:lineRule="auto"/>
        <w:rPr>
          <w:lang w:val="en-GB"/>
        </w:rPr>
      </w:pPr>
    </w:p>
    <w:p w14:paraId="497D6980" w14:textId="15E1DDFD" w:rsidR="00FF11A5" w:rsidRDefault="00FF11A5" w:rsidP="00FF11A5">
      <w:pPr>
        <w:spacing w:before="80" w:after="60" w:line="259" w:lineRule="auto"/>
        <w:rPr>
          <w:lang w:val="en-GB"/>
        </w:rPr>
      </w:pPr>
      <w:r w:rsidRPr="00FF11A5">
        <w:rPr>
          <w:lang w:val="en-GB"/>
        </w:rPr>
        <w:t>[Insert Fig. 10 here]</w:t>
      </w:r>
    </w:p>
    <w:p w14:paraId="2F6F411C" w14:textId="77777777" w:rsidR="00FF11A5" w:rsidRPr="00FF11A5" w:rsidRDefault="00FF11A5" w:rsidP="00FF11A5">
      <w:pPr>
        <w:spacing w:before="80" w:after="60" w:line="259" w:lineRule="auto"/>
        <w:rPr>
          <w:lang w:val="en-GB"/>
        </w:rPr>
      </w:pPr>
    </w:p>
    <w:p w14:paraId="13204C17" w14:textId="6B452CE3" w:rsidR="002643A8" w:rsidRPr="002643A8" w:rsidRDefault="00FF11A5" w:rsidP="00FF11A5">
      <w:pPr>
        <w:spacing w:before="80" w:after="60" w:line="259" w:lineRule="auto"/>
        <w:rPr>
          <w:lang w:val="en-GB"/>
        </w:rPr>
      </w:pPr>
      <w:r w:rsidRPr="00FF11A5">
        <w:rPr>
          <w:lang w:val="en-GB"/>
        </w:rPr>
        <w:t>Fig. 10. Pearson correlation heatmap for the ETF return series.</w:t>
      </w:r>
      <w:r w:rsidR="002643A8" w:rsidRPr="002643A8">
        <w:rPr>
          <w:lang w:val="en-GB"/>
        </w:rPr>
        <w:br/>
      </w:r>
      <w:r w:rsidR="002643A8" w:rsidRPr="002643A8">
        <w:rPr>
          <w:lang w:val="en-GB"/>
        </w:rPr>
        <w:br/>
        <w:t xml:space="preserve">[Insert Fig. 11 / </w:t>
      </w:r>
      <w:proofErr w:type="spellStart"/>
      <w:r w:rsidR="002643A8" w:rsidRPr="002643A8">
        <w:rPr>
          <w:lang w:val="en-GB"/>
        </w:rPr>
        <w:t>sensitivity_window</w:t>
      </w:r>
      <w:proofErr w:type="spellEnd"/>
      <w:r w:rsidR="002643A8" w:rsidRPr="002643A8">
        <w:rPr>
          <w:lang w:val="en-GB"/>
        </w:rPr>
        <w:t xml:space="preserve"> here]</w:t>
      </w:r>
      <w:r w:rsidR="002643A8" w:rsidRPr="002643A8">
        <w:rPr>
          <w:lang w:val="en-GB"/>
        </w:rPr>
        <w:br/>
      </w:r>
      <w:r w:rsidR="002643A8" w:rsidRPr="002643A8">
        <w:rPr>
          <w:lang w:val="en-GB"/>
        </w:rPr>
        <w:br/>
        <w:t xml:space="preserve">Fig. </w:t>
      </w:r>
      <w:r w:rsidR="000E49F9">
        <w:rPr>
          <w:lang w:val="en-GB"/>
        </w:rPr>
        <w:t>11</w:t>
      </w:r>
      <w:r w:rsidR="002643A8" w:rsidRPr="002643A8">
        <w:rPr>
          <w:lang w:val="en-GB"/>
        </w:rPr>
        <w:t>. Sensitivity of strategy performance to estimation-window length.</w:t>
      </w:r>
      <w:r w:rsidR="002643A8" w:rsidRPr="002643A8">
        <w:rPr>
          <w:lang w:val="en-GB"/>
        </w:rPr>
        <w:br/>
      </w:r>
      <w:r w:rsidR="002643A8" w:rsidRPr="002643A8">
        <w:rPr>
          <w:lang w:val="en-GB"/>
        </w:rPr>
        <w:br/>
        <w:t xml:space="preserve">[Insert Fig. 12 / </w:t>
      </w:r>
      <w:proofErr w:type="spellStart"/>
      <w:r w:rsidR="002643A8" w:rsidRPr="002643A8">
        <w:rPr>
          <w:lang w:val="en-GB"/>
        </w:rPr>
        <w:t>sensitivity_rebalance</w:t>
      </w:r>
      <w:proofErr w:type="spellEnd"/>
      <w:r w:rsidR="002643A8" w:rsidRPr="002643A8">
        <w:rPr>
          <w:lang w:val="en-GB"/>
        </w:rPr>
        <w:t xml:space="preserve"> here]</w:t>
      </w:r>
      <w:r w:rsidR="002643A8" w:rsidRPr="002643A8">
        <w:rPr>
          <w:lang w:val="en-GB"/>
        </w:rPr>
        <w:br/>
      </w:r>
      <w:r w:rsidR="002643A8" w:rsidRPr="002643A8">
        <w:rPr>
          <w:lang w:val="en-GB"/>
        </w:rPr>
        <w:br/>
        <w:t xml:space="preserve">Fig. </w:t>
      </w:r>
      <w:r w:rsidR="00A406E2">
        <w:rPr>
          <w:lang w:val="en-GB"/>
        </w:rPr>
        <w:t>12</w:t>
      </w:r>
      <w:r w:rsidR="002643A8" w:rsidRPr="002643A8">
        <w:rPr>
          <w:lang w:val="en-GB"/>
        </w:rPr>
        <w:t>. Sensitivity of strategy performance to rebalancing frequency.</w:t>
      </w:r>
      <w:r w:rsidR="002643A8" w:rsidRPr="002643A8">
        <w:rPr>
          <w:lang w:val="en-GB"/>
        </w:rPr>
        <w:br/>
      </w:r>
      <w:r w:rsidR="002643A8" w:rsidRPr="002643A8">
        <w:rPr>
          <w:lang w:val="en-GB"/>
        </w:rPr>
        <w:br/>
        <w:t xml:space="preserve">[Insert Fig. 13 / </w:t>
      </w:r>
      <w:proofErr w:type="spellStart"/>
      <w:r w:rsidR="002643A8" w:rsidRPr="002643A8">
        <w:rPr>
          <w:lang w:val="en-GB"/>
        </w:rPr>
        <w:t>sensitivity_cvar_alpha</w:t>
      </w:r>
      <w:proofErr w:type="spellEnd"/>
      <w:r w:rsidR="002643A8" w:rsidRPr="002643A8">
        <w:rPr>
          <w:lang w:val="en-GB"/>
        </w:rPr>
        <w:t xml:space="preserve"> here]</w:t>
      </w:r>
      <w:r w:rsidR="002643A8" w:rsidRPr="002643A8">
        <w:rPr>
          <w:lang w:val="en-GB"/>
        </w:rPr>
        <w:br/>
      </w:r>
      <w:r w:rsidR="002643A8" w:rsidRPr="002643A8">
        <w:rPr>
          <w:lang w:val="en-GB"/>
        </w:rPr>
        <w:br/>
        <w:t xml:space="preserve">Fig. </w:t>
      </w:r>
      <w:r w:rsidR="00B02AF3">
        <w:rPr>
          <w:lang w:val="en-GB"/>
        </w:rPr>
        <w:t>13</w:t>
      </w:r>
      <w:r w:rsidR="002643A8" w:rsidRPr="002643A8">
        <w:rPr>
          <w:lang w:val="en-GB"/>
        </w:rPr>
        <w:t xml:space="preserve">. Sensitivity of </w:t>
      </w:r>
      <w:proofErr w:type="spellStart"/>
      <w:r w:rsidR="002643A8" w:rsidRPr="002643A8">
        <w:rPr>
          <w:lang w:val="en-GB"/>
        </w:rPr>
        <w:t>CVaR</w:t>
      </w:r>
      <w:proofErr w:type="spellEnd"/>
      <w:r w:rsidR="002643A8" w:rsidRPr="002643A8">
        <w:rPr>
          <w:lang w:val="en-GB"/>
        </w:rPr>
        <w:t xml:space="preserve"> strategy performance to confidence level.</w:t>
      </w:r>
    </w:p>
    <w:p w14:paraId="26F2E14F" w14:textId="77777777" w:rsidR="002643A8" w:rsidRDefault="002643A8" w:rsidP="001C50E8">
      <w:pPr>
        <w:spacing w:before="80" w:after="60" w:line="259" w:lineRule="auto"/>
        <w:rPr>
          <w:lang w:val="en-GB"/>
        </w:rPr>
      </w:pPr>
    </w:p>
    <w:p w14:paraId="5CA527B7" w14:textId="77777777" w:rsidR="001F02F0" w:rsidRPr="003B4136" w:rsidRDefault="001F02F0" w:rsidP="001C50E8">
      <w:pPr>
        <w:spacing w:before="80" w:after="60" w:line="259" w:lineRule="auto"/>
        <w:rPr>
          <w:lang w:val="en-GB"/>
        </w:rPr>
      </w:pPr>
    </w:p>
    <w:p w14:paraId="574CEAD8" w14:textId="261183D9" w:rsidR="00664EC1" w:rsidRDefault="00000000" w:rsidP="00F70421">
      <w:pPr>
        <w:spacing w:before="80" w:after="60" w:line="259" w:lineRule="auto"/>
      </w:pPr>
      <w:r>
        <w:rPr>
          <w:b/>
          <w:sz w:val="20"/>
        </w:rPr>
        <w:t>REFERENCES</w:t>
      </w:r>
    </w:p>
    <w:p w14:paraId="1EAA8FF4" w14:textId="77777777" w:rsidR="00664EC1" w:rsidRDefault="00664EC1">
      <w:pPr>
        <w:spacing w:after="20" w:line="240" w:lineRule="auto"/>
      </w:pPr>
    </w:p>
    <w:p w14:paraId="0FBAA731" w14:textId="77777777" w:rsidR="002D20CD" w:rsidRPr="002D20CD" w:rsidRDefault="00677C93" w:rsidP="002D20CD">
      <w:pPr>
        <w:pStyle w:val="Bibliography"/>
      </w:pPr>
      <w:r>
        <w:fldChar w:fldCharType="begin"/>
      </w:r>
      <w:r w:rsidR="002D20CD">
        <w:instrText xml:space="preserve"> ADDIN ZOTERO_BIBL {"uncited":[],"omitted":[],"custom":[]} CSL_BIBLIOGRAPHY </w:instrText>
      </w:r>
      <w:r>
        <w:fldChar w:fldCharType="separate"/>
      </w:r>
      <w:r w:rsidR="002D20CD" w:rsidRPr="002D20CD">
        <w:t>[1]</w:t>
      </w:r>
      <w:r w:rsidR="002D20CD" w:rsidRPr="002D20CD">
        <w:tab/>
        <w:t xml:space="preserve">I. Muñoz and A. Cifuentes, ‘Portfolio optimization: Do risk metrics matter?’, </w:t>
      </w:r>
      <w:r w:rsidR="002D20CD" w:rsidRPr="002D20CD">
        <w:rPr>
          <w:i/>
          <w:iCs/>
        </w:rPr>
        <w:t>Finance Research Open</w:t>
      </w:r>
      <w:r w:rsidR="002D20CD" w:rsidRPr="002D20CD">
        <w:t>, vol. 2, no. 1, p. 100098, Mar. 2026, doi: 10.1016/j.finr.2026.100098.</w:t>
      </w:r>
    </w:p>
    <w:p w14:paraId="06ACC5F1" w14:textId="77777777" w:rsidR="002D20CD" w:rsidRPr="002D20CD" w:rsidRDefault="002D20CD" w:rsidP="002D20CD">
      <w:pPr>
        <w:pStyle w:val="Bibliography"/>
      </w:pPr>
      <w:r w:rsidRPr="002D20CD">
        <w:t>[2]</w:t>
      </w:r>
      <w:r w:rsidRPr="002D20CD">
        <w:tab/>
        <w:t xml:space="preserve">M. Kaucic, M. Moradi, and M. Mirzazadeh, ‘Portfolio optimization by improved NSGA-II and SPEA 2 based on different risk measures’, </w:t>
      </w:r>
      <w:r w:rsidRPr="002D20CD">
        <w:rPr>
          <w:i/>
          <w:iCs/>
        </w:rPr>
        <w:t>Financ Innov</w:t>
      </w:r>
      <w:r w:rsidRPr="002D20CD">
        <w:t>, vol. 5, no. 1, p. 26, Dec. 2019, doi: 10.1186/s40854-019-0140-6.</w:t>
      </w:r>
    </w:p>
    <w:p w14:paraId="2D325870" w14:textId="77777777" w:rsidR="002D20CD" w:rsidRPr="002D20CD" w:rsidRDefault="002D20CD" w:rsidP="002D20CD">
      <w:pPr>
        <w:pStyle w:val="Bibliography"/>
      </w:pPr>
      <w:r w:rsidRPr="002D20CD">
        <w:t>[3]</w:t>
      </w:r>
      <w:r w:rsidRPr="002D20CD">
        <w:tab/>
        <w:t xml:space="preserve">T. Teplova, M. Evgeniia, Q. Munir, and N. Pivnitskaya, ‘Black-Litterman model with copula-based views in mean-CVaR portfolio optimization framework with weight constraints’, </w:t>
      </w:r>
      <w:r w:rsidRPr="002D20CD">
        <w:rPr>
          <w:i/>
          <w:iCs/>
        </w:rPr>
        <w:t>Econ Change Restruct</w:t>
      </w:r>
      <w:r w:rsidRPr="002D20CD">
        <w:t>, vol. 56, no. 1, pp. 515–535, Feb. 2023, doi: 10.1007/s10644-022-09435-y.</w:t>
      </w:r>
    </w:p>
    <w:p w14:paraId="7F7788C4" w14:textId="77777777" w:rsidR="002D20CD" w:rsidRPr="002D20CD" w:rsidRDefault="002D20CD" w:rsidP="002D20CD">
      <w:pPr>
        <w:pStyle w:val="Bibliography"/>
      </w:pPr>
      <w:r w:rsidRPr="002D20CD">
        <w:t>[4]</w:t>
      </w:r>
      <w:r w:rsidRPr="002D20CD">
        <w:tab/>
        <w:t xml:space="preserve">S. Nasini, M. Labbé, and L. Brotcorne, ‘Multi-market portfolio optimization with conditional value at risk’, </w:t>
      </w:r>
      <w:r w:rsidRPr="002D20CD">
        <w:rPr>
          <w:i/>
          <w:iCs/>
        </w:rPr>
        <w:t>European Journal of Operational Research</w:t>
      </w:r>
      <w:r w:rsidRPr="002D20CD">
        <w:t>, vol. 300, no. 1, pp. 350–365, Jul. 2022, doi: 10.1016/j.ejor.2021.10.010.</w:t>
      </w:r>
    </w:p>
    <w:p w14:paraId="27C6BD5E" w14:textId="77777777" w:rsidR="002D20CD" w:rsidRPr="002D20CD" w:rsidRDefault="002D20CD" w:rsidP="002D20CD">
      <w:pPr>
        <w:pStyle w:val="Bibliography"/>
      </w:pPr>
      <w:r w:rsidRPr="002D20CD">
        <w:t>[5]</w:t>
      </w:r>
      <w:r w:rsidRPr="002D20CD">
        <w:tab/>
        <w:t xml:space="preserve">T. Cui, S. Ding, H. Jin, and Y. Zhang, ‘Portfolio constructions in cryptocurrency market: A CVaR-based deep reinforcement learning approach’, </w:t>
      </w:r>
      <w:r w:rsidRPr="002D20CD">
        <w:rPr>
          <w:i/>
          <w:iCs/>
        </w:rPr>
        <w:t>Economic Modelling</w:t>
      </w:r>
      <w:r w:rsidRPr="002D20CD">
        <w:t>, vol. 119, p. 106078, Feb. 2023, doi: 10.1016/j.econmod.2022.106078.</w:t>
      </w:r>
    </w:p>
    <w:p w14:paraId="0E5B83DC" w14:textId="77777777" w:rsidR="002D20CD" w:rsidRPr="002D20CD" w:rsidRDefault="002D20CD" w:rsidP="002D20CD">
      <w:pPr>
        <w:pStyle w:val="Bibliography"/>
      </w:pPr>
      <w:r w:rsidRPr="002D20CD">
        <w:t>[6]</w:t>
      </w:r>
      <w:r w:rsidRPr="002D20CD">
        <w:tab/>
        <w:t xml:space="preserve">K. Kobayashi, Y. Takano, and K. Nakata, ‘Cardinality-constrained distributionally robust portfolio optimization’, </w:t>
      </w:r>
      <w:r w:rsidRPr="002D20CD">
        <w:rPr>
          <w:i/>
          <w:iCs/>
        </w:rPr>
        <w:t>European Journal of Operational Research</w:t>
      </w:r>
      <w:r w:rsidRPr="002D20CD">
        <w:t>, vol. 309, no. 3, pp. 1173–1182, Sep. 2023, doi: 10.1016/j.ejor.2023.01.037.</w:t>
      </w:r>
    </w:p>
    <w:p w14:paraId="67DE580D" w14:textId="77777777" w:rsidR="002D20CD" w:rsidRPr="002D20CD" w:rsidRDefault="002D20CD" w:rsidP="002D20CD">
      <w:pPr>
        <w:pStyle w:val="Bibliography"/>
      </w:pPr>
      <w:r w:rsidRPr="002D20CD">
        <w:t>[7]</w:t>
      </w:r>
      <w:r w:rsidRPr="002D20CD">
        <w:tab/>
        <w:t>HSBC Global Asset Management (Malta) Ltd., ‘Maltese Assets Fund: Fund Information Sheet, Income Class’, Fund information sheet, Jan. 2026.</w:t>
      </w:r>
    </w:p>
    <w:p w14:paraId="57E4CF5A" w14:textId="77777777" w:rsidR="002D20CD" w:rsidRPr="002D20CD" w:rsidRDefault="002D20CD" w:rsidP="002D20CD">
      <w:pPr>
        <w:pStyle w:val="Bibliography"/>
      </w:pPr>
      <w:r w:rsidRPr="002D20CD">
        <w:t>[8]</w:t>
      </w:r>
      <w:r w:rsidRPr="002D20CD">
        <w:tab/>
        <w:t xml:space="preserve">Malta Financial Services Authority, ‘Net Asset Value (€) - Locally-Based Collective Investment Schemes’, Statistical report, Mar. 2025. [Online]. </w:t>
      </w:r>
      <w:r w:rsidRPr="002D20CD">
        <w:t>Available: https://www.mfsa.mt/wp-content/uploads/2025/05/Net-Asset-Value-Locally-Based-Collective-Investment-Schemes-March-2025.pdf</w:t>
      </w:r>
    </w:p>
    <w:p w14:paraId="7FF3875C" w14:textId="77777777" w:rsidR="002D20CD" w:rsidRPr="002D20CD" w:rsidRDefault="002D20CD" w:rsidP="002D20CD">
      <w:pPr>
        <w:pStyle w:val="Bibliography"/>
      </w:pPr>
      <w:r w:rsidRPr="002D20CD">
        <w:t>[9]</w:t>
      </w:r>
      <w:r w:rsidRPr="002D20CD">
        <w:tab/>
        <w:t xml:space="preserve">M. Saunders, P. Lewis, and A. Thornhill, </w:t>
      </w:r>
      <w:r w:rsidRPr="002D20CD">
        <w:rPr>
          <w:i/>
          <w:iCs/>
        </w:rPr>
        <w:t>Research Methods for Business Students</w:t>
      </w:r>
      <w:r w:rsidRPr="002D20CD">
        <w:t>, 4th. ed. Harlow, U.K.: Financial Times Prentice Hall, 2007.</w:t>
      </w:r>
    </w:p>
    <w:p w14:paraId="00E1D9A8" w14:textId="64D2AFAF" w:rsidR="00664EC1" w:rsidRDefault="00677C93">
      <w:pPr>
        <w:spacing w:after="20" w:line="240" w:lineRule="auto"/>
      </w:pPr>
      <w:r>
        <w:fldChar w:fldCharType="end"/>
      </w:r>
    </w:p>
    <w:p w14:paraId="795A4093" w14:textId="4EA58AF8" w:rsidR="00DC4325" w:rsidRPr="00DC4325" w:rsidRDefault="00DC4325">
      <w:pPr>
        <w:spacing w:after="20" w:line="240" w:lineRule="auto"/>
        <w:rPr>
          <w:b/>
          <w:bCs/>
        </w:rPr>
      </w:pPr>
    </w:p>
    <w:p w14:paraId="28116D36" w14:textId="77777777" w:rsidR="00DC4325" w:rsidRDefault="00DC4325">
      <w:pPr>
        <w:spacing w:after="20" w:line="240" w:lineRule="auto"/>
      </w:pPr>
    </w:p>
    <w:sectPr w:rsidR="00DC4325" w:rsidSect="00034616">
      <w:type w:val="continuous"/>
      <w:pgSz w:w="11906" w:h="16838"/>
      <w:pgMar w:top="1020" w:right="1020" w:bottom="1020" w:left="1020" w:header="720" w:footer="720" w:gutter="0"/>
      <w:cols w:num="2" w:space="5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06711"/>
    <w:multiLevelType w:val="multilevel"/>
    <w:tmpl w:val="9618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554C0"/>
    <w:multiLevelType w:val="multilevel"/>
    <w:tmpl w:val="785CF06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5F862F8"/>
    <w:multiLevelType w:val="multilevel"/>
    <w:tmpl w:val="03F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85097"/>
    <w:multiLevelType w:val="multilevel"/>
    <w:tmpl w:val="0ED4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D36C39"/>
    <w:multiLevelType w:val="hybridMultilevel"/>
    <w:tmpl w:val="EF58B42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FF6507"/>
    <w:multiLevelType w:val="multilevel"/>
    <w:tmpl w:val="3190B56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2B9527B"/>
    <w:multiLevelType w:val="hybridMultilevel"/>
    <w:tmpl w:val="C33E9E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663FFC"/>
    <w:multiLevelType w:val="multilevel"/>
    <w:tmpl w:val="3190B56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ABD7F96"/>
    <w:multiLevelType w:val="hybridMultilevel"/>
    <w:tmpl w:val="4BC2B40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0774109">
    <w:abstractNumId w:val="8"/>
  </w:num>
  <w:num w:numId="2" w16cid:durableId="898367937">
    <w:abstractNumId w:val="6"/>
  </w:num>
  <w:num w:numId="3" w16cid:durableId="1522279788">
    <w:abstractNumId w:val="5"/>
  </w:num>
  <w:num w:numId="4" w16cid:durableId="784539575">
    <w:abstractNumId w:val="4"/>
  </w:num>
  <w:num w:numId="5" w16cid:durableId="1433547149">
    <w:abstractNumId w:val="7"/>
  </w:num>
  <w:num w:numId="6" w16cid:durableId="902374698">
    <w:abstractNumId w:val="3"/>
  </w:num>
  <w:num w:numId="7" w16cid:durableId="932664701">
    <w:abstractNumId w:val="2"/>
  </w:num>
  <w:num w:numId="8" w16cid:durableId="75440672">
    <w:abstractNumId w:val="1"/>
  </w:num>
  <w:num w:numId="9" w16cid:durableId="2018848119">
    <w:abstractNumId w:val="0"/>
  </w:num>
  <w:num w:numId="10" w16cid:durableId="1125193283">
    <w:abstractNumId w:val="9"/>
  </w:num>
  <w:num w:numId="11" w16cid:durableId="518011883">
    <w:abstractNumId w:val="16"/>
  </w:num>
  <w:num w:numId="12" w16cid:durableId="1881239616">
    <w:abstractNumId w:val="11"/>
  </w:num>
  <w:num w:numId="13" w16cid:durableId="2058046265">
    <w:abstractNumId w:val="12"/>
  </w:num>
  <w:num w:numId="14" w16cid:durableId="337074223">
    <w:abstractNumId w:val="10"/>
  </w:num>
  <w:num w:numId="15" w16cid:durableId="116148405">
    <w:abstractNumId w:val="14"/>
  </w:num>
  <w:num w:numId="16" w16cid:durableId="360320136">
    <w:abstractNumId w:val="13"/>
  </w:num>
  <w:num w:numId="17" w16cid:durableId="1490171919">
    <w:abstractNumId w:val="15"/>
  </w:num>
  <w:num w:numId="18" w16cid:durableId="4538637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33"/>
    <w:rsid w:val="00007A44"/>
    <w:rsid w:val="000101BD"/>
    <w:rsid w:val="00023EDA"/>
    <w:rsid w:val="00032156"/>
    <w:rsid w:val="00034616"/>
    <w:rsid w:val="00034B56"/>
    <w:rsid w:val="000413D7"/>
    <w:rsid w:val="00042855"/>
    <w:rsid w:val="000467B6"/>
    <w:rsid w:val="0006063C"/>
    <w:rsid w:val="00087986"/>
    <w:rsid w:val="00095DF2"/>
    <w:rsid w:val="000B25AC"/>
    <w:rsid w:val="000C5436"/>
    <w:rsid w:val="000D4B9D"/>
    <w:rsid w:val="000D7C5E"/>
    <w:rsid w:val="000D7DDD"/>
    <w:rsid w:val="000E1EF0"/>
    <w:rsid w:val="000E49F9"/>
    <w:rsid w:val="000F0483"/>
    <w:rsid w:val="00107140"/>
    <w:rsid w:val="00127529"/>
    <w:rsid w:val="0013138E"/>
    <w:rsid w:val="001353D9"/>
    <w:rsid w:val="0015074B"/>
    <w:rsid w:val="00187189"/>
    <w:rsid w:val="001974A1"/>
    <w:rsid w:val="001C50E8"/>
    <w:rsid w:val="001E11F9"/>
    <w:rsid w:val="001F02F0"/>
    <w:rsid w:val="001F578D"/>
    <w:rsid w:val="00214C80"/>
    <w:rsid w:val="0021642F"/>
    <w:rsid w:val="00216AA9"/>
    <w:rsid w:val="00222547"/>
    <w:rsid w:val="00250111"/>
    <w:rsid w:val="00252CD8"/>
    <w:rsid w:val="00254D74"/>
    <w:rsid w:val="002643A8"/>
    <w:rsid w:val="00295179"/>
    <w:rsid w:val="00295EE9"/>
    <w:rsid w:val="0029639D"/>
    <w:rsid w:val="002A3C0A"/>
    <w:rsid w:val="002A4D2E"/>
    <w:rsid w:val="002D20CD"/>
    <w:rsid w:val="002E3173"/>
    <w:rsid w:val="002E4C0F"/>
    <w:rsid w:val="00301417"/>
    <w:rsid w:val="003200BC"/>
    <w:rsid w:val="00323E5F"/>
    <w:rsid w:val="00326F90"/>
    <w:rsid w:val="00331EB9"/>
    <w:rsid w:val="003334CE"/>
    <w:rsid w:val="003551D6"/>
    <w:rsid w:val="00364E9B"/>
    <w:rsid w:val="00367402"/>
    <w:rsid w:val="00380075"/>
    <w:rsid w:val="003920E1"/>
    <w:rsid w:val="00396A02"/>
    <w:rsid w:val="003A17A2"/>
    <w:rsid w:val="003B4136"/>
    <w:rsid w:val="003C434F"/>
    <w:rsid w:val="003C5564"/>
    <w:rsid w:val="003C7FF4"/>
    <w:rsid w:val="003D5B1C"/>
    <w:rsid w:val="003E1700"/>
    <w:rsid w:val="003E4B95"/>
    <w:rsid w:val="003E6A8F"/>
    <w:rsid w:val="003F6C52"/>
    <w:rsid w:val="0040788F"/>
    <w:rsid w:val="00407BF8"/>
    <w:rsid w:val="004118CC"/>
    <w:rsid w:val="00437350"/>
    <w:rsid w:val="004418D2"/>
    <w:rsid w:val="00451160"/>
    <w:rsid w:val="0045262F"/>
    <w:rsid w:val="00464B93"/>
    <w:rsid w:val="004766B4"/>
    <w:rsid w:val="004B5D39"/>
    <w:rsid w:val="004C35EF"/>
    <w:rsid w:val="004C3F55"/>
    <w:rsid w:val="004C5B92"/>
    <w:rsid w:val="00525173"/>
    <w:rsid w:val="0054438D"/>
    <w:rsid w:val="00560DFF"/>
    <w:rsid w:val="00574011"/>
    <w:rsid w:val="005872E2"/>
    <w:rsid w:val="00595436"/>
    <w:rsid w:val="005A01AB"/>
    <w:rsid w:val="005A7142"/>
    <w:rsid w:val="005B37E5"/>
    <w:rsid w:val="005B7F38"/>
    <w:rsid w:val="005C1039"/>
    <w:rsid w:val="005C7073"/>
    <w:rsid w:val="0060272B"/>
    <w:rsid w:val="006259D5"/>
    <w:rsid w:val="006328A1"/>
    <w:rsid w:val="006467E6"/>
    <w:rsid w:val="00655A60"/>
    <w:rsid w:val="00664EC1"/>
    <w:rsid w:val="006773C2"/>
    <w:rsid w:val="00677C93"/>
    <w:rsid w:val="006849F9"/>
    <w:rsid w:val="0068585B"/>
    <w:rsid w:val="00687CB2"/>
    <w:rsid w:val="006C5670"/>
    <w:rsid w:val="006C72BA"/>
    <w:rsid w:val="006C7A0B"/>
    <w:rsid w:val="006E477B"/>
    <w:rsid w:val="006E4A87"/>
    <w:rsid w:val="006F3783"/>
    <w:rsid w:val="00714CC4"/>
    <w:rsid w:val="00715924"/>
    <w:rsid w:val="00715F18"/>
    <w:rsid w:val="00717F43"/>
    <w:rsid w:val="007249CD"/>
    <w:rsid w:val="0075119B"/>
    <w:rsid w:val="007725BF"/>
    <w:rsid w:val="0077540B"/>
    <w:rsid w:val="00791D35"/>
    <w:rsid w:val="007927DC"/>
    <w:rsid w:val="007A480B"/>
    <w:rsid w:val="007D3B54"/>
    <w:rsid w:val="007D4F81"/>
    <w:rsid w:val="007F127C"/>
    <w:rsid w:val="007F59F9"/>
    <w:rsid w:val="007F5A70"/>
    <w:rsid w:val="00803422"/>
    <w:rsid w:val="008069FF"/>
    <w:rsid w:val="00810730"/>
    <w:rsid w:val="008143A4"/>
    <w:rsid w:val="008414DD"/>
    <w:rsid w:val="00880713"/>
    <w:rsid w:val="008830B0"/>
    <w:rsid w:val="008B3A38"/>
    <w:rsid w:val="008E2230"/>
    <w:rsid w:val="008F053D"/>
    <w:rsid w:val="009006BE"/>
    <w:rsid w:val="009101C5"/>
    <w:rsid w:val="00912B67"/>
    <w:rsid w:val="00915130"/>
    <w:rsid w:val="00923980"/>
    <w:rsid w:val="009300AE"/>
    <w:rsid w:val="00936109"/>
    <w:rsid w:val="0093629A"/>
    <w:rsid w:val="00947E92"/>
    <w:rsid w:val="00951DA1"/>
    <w:rsid w:val="00960899"/>
    <w:rsid w:val="00964C19"/>
    <w:rsid w:val="0098246D"/>
    <w:rsid w:val="00984D9A"/>
    <w:rsid w:val="009C401A"/>
    <w:rsid w:val="009C7A72"/>
    <w:rsid w:val="009E5419"/>
    <w:rsid w:val="00A27E2C"/>
    <w:rsid w:val="00A34845"/>
    <w:rsid w:val="00A406E2"/>
    <w:rsid w:val="00A47AED"/>
    <w:rsid w:val="00A55976"/>
    <w:rsid w:val="00AA1D8D"/>
    <w:rsid w:val="00AC006E"/>
    <w:rsid w:val="00AF4329"/>
    <w:rsid w:val="00B02351"/>
    <w:rsid w:val="00B02AF3"/>
    <w:rsid w:val="00B42122"/>
    <w:rsid w:val="00B47730"/>
    <w:rsid w:val="00B538CB"/>
    <w:rsid w:val="00B667CF"/>
    <w:rsid w:val="00B927F7"/>
    <w:rsid w:val="00BA35BD"/>
    <w:rsid w:val="00BD16C2"/>
    <w:rsid w:val="00BE6A92"/>
    <w:rsid w:val="00BF42B1"/>
    <w:rsid w:val="00C04AF3"/>
    <w:rsid w:val="00C235CC"/>
    <w:rsid w:val="00C801E4"/>
    <w:rsid w:val="00C82801"/>
    <w:rsid w:val="00CB0664"/>
    <w:rsid w:val="00CB214B"/>
    <w:rsid w:val="00CD4CE4"/>
    <w:rsid w:val="00CE1D37"/>
    <w:rsid w:val="00CE2227"/>
    <w:rsid w:val="00CE2376"/>
    <w:rsid w:val="00D416F2"/>
    <w:rsid w:val="00D50461"/>
    <w:rsid w:val="00D6310C"/>
    <w:rsid w:val="00D8204C"/>
    <w:rsid w:val="00DB30D7"/>
    <w:rsid w:val="00DC0BFB"/>
    <w:rsid w:val="00DC4325"/>
    <w:rsid w:val="00E04DB8"/>
    <w:rsid w:val="00E0516D"/>
    <w:rsid w:val="00E125A7"/>
    <w:rsid w:val="00E1478B"/>
    <w:rsid w:val="00E30076"/>
    <w:rsid w:val="00E30580"/>
    <w:rsid w:val="00E479B1"/>
    <w:rsid w:val="00E532AA"/>
    <w:rsid w:val="00E70C9B"/>
    <w:rsid w:val="00E805C4"/>
    <w:rsid w:val="00E91E69"/>
    <w:rsid w:val="00E972B8"/>
    <w:rsid w:val="00EA5467"/>
    <w:rsid w:val="00EA6BFB"/>
    <w:rsid w:val="00EB000C"/>
    <w:rsid w:val="00EB10C2"/>
    <w:rsid w:val="00F02AFD"/>
    <w:rsid w:val="00F06B7B"/>
    <w:rsid w:val="00F219FF"/>
    <w:rsid w:val="00F21C9C"/>
    <w:rsid w:val="00F24A26"/>
    <w:rsid w:val="00F314EB"/>
    <w:rsid w:val="00F34739"/>
    <w:rsid w:val="00F41440"/>
    <w:rsid w:val="00F66905"/>
    <w:rsid w:val="00F66A27"/>
    <w:rsid w:val="00F70421"/>
    <w:rsid w:val="00F801E8"/>
    <w:rsid w:val="00F864DB"/>
    <w:rsid w:val="00FA19CF"/>
    <w:rsid w:val="00FA5919"/>
    <w:rsid w:val="00FB1BDC"/>
    <w:rsid w:val="00FC0B2F"/>
    <w:rsid w:val="00FC2725"/>
    <w:rsid w:val="00FC693F"/>
    <w:rsid w:val="00FD3849"/>
    <w:rsid w:val="00FE4C3E"/>
    <w:rsid w:val="00FF11A5"/>
    <w:rsid w:val="00FF2830"/>
    <w:rsid w:val="00FF74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A8093"/>
  <w14:defaultImageDpi w14:val="330"/>
  <w15:docId w15:val="{C42D6FDE-942A-4A0C-B274-03B9D359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69FF"/>
    <w:rPr>
      <w:rFonts w:cs="Times New Roman"/>
      <w:sz w:val="24"/>
      <w:szCs w:val="24"/>
    </w:rPr>
  </w:style>
  <w:style w:type="paragraph" w:styleId="Bibliography">
    <w:name w:val="Bibliography"/>
    <w:basedOn w:val="Normal"/>
    <w:next w:val="Normal"/>
    <w:uiPriority w:val="37"/>
    <w:unhideWhenUsed/>
    <w:rsid w:val="00677C93"/>
    <w:pPr>
      <w:tabs>
        <w:tab w:val="left" w:pos="384"/>
      </w:tabs>
      <w:spacing w:after="0" w:line="240" w:lineRule="auto"/>
      <w:ind w:left="384" w:hanging="384"/>
    </w:pPr>
  </w:style>
  <w:style w:type="paragraph" w:customStyle="1" w:styleId="font-claude-response-body">
    <w:name w:val="font-claude-response-body"/>
    <w:basedOn w:val="Normal"/>
    <w:rsid w:val="004C35EF"/>
    <w:pPr>
      <w:spacing w:before="100" w:beforeAutospacing="1" w:after="100" w:afterAutospacing="1" w:line="240" w:lineRule="auto"/>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225">
      <w:bodyDiv w:val="1"/>
      <w:marLeft w:val="0"/>
      <w:marRight w:val="0"/>
      <w:marTop w:val="0"/>
      <w:marBottom w:val="0"/>
      <w:divBdr>
        <w:top w:val="none" w:sz="0" w:space="0" w:color="auto"/>
        <w:left w:val="none" w:sz="0" w:space="0" w:color="auto"/>
        <w:bottom w:val="none" w:sz="0" w:space="0" w:color="auto"/>
        <w:right w:val="none" w:sz="0" w:space="0" w:color="auto"/>
      </w:divBdr>
    </w:div>
    <w:div w:id="67852817">
      <w:bodyDiv w:val="1"/>
      <w:marLeft w:val="0"/>
      <w:marRight w:val="0"/>
      <w:marTop w:val="0"/>
      <w:marBottom w:val="0"/>
      <w:divBdr>
        <w:top w:val="none" w:sz="0" w:space="0" w:color="auto"/>
        <w:left w:val="none" w:sz="0" w:space="0" w:color="auto"/>
        <w:bottom w:val="none" w:sz="0" w:space="0" w:color="auto"/>
        <w:right w:val="none" w:sz="0" w:space="0" w:color="auto"/>
      </w:divBdr>
    </w:div>
    <w:div w:id="79714731">
      <w:bodyDiv w:val="1"/>
      <w:marLeft w:val="0"/>
      <w:marRight w:val="0"/>
      <w:marTop w:val="0"/>
      <w:marBottom w:val="0"/>
      <w:divBdr>
        <w:top w:val="none" w:sz="0" w:space="0" w:color="auto"/>
        <w:left w:val="none" w:sz="0" w:space="0" w:color="auto"/>
        <w:bottom w:val="none" w:sz="0" w:space="0" w:color="auto"/>
        <w:right w:val="none" w:sz="0" w:space="0" w:color="auto"/>
      </w:divBdr>
    </w:div>
    <w:div w:id="101268321">
      <w:bodyDiv w:val="1"/>
      <w:marLeft w:val="0"/>
      <w:marRight w:val="0"/>
      <w:marTop w:val="0"/>
      <w:marBottom w:val="0"/>
      <w:divBdr>
        <w:top w:val="none" w:sz="0" w:space="0" w:color="auto"/>
        <w:left w:val="none" w:sz="0" w:space="0" w:color="auto"/>
        <w:bottom w:val="none" w:sz="0" w:space="0" w:color="auto"/>
        <w:right w:val="none" w:sz="0" w:space="0" w:color="auto"/>
      </w:divBdr>
    </w:div>
    <w:div w:id="109327377">
      <w:bodyDiv w:val="1"/>
      <w:marLeft w:val="0"/>
      <w:marRight w:val="0"/>
      <w:marTop w:val="0"/>
      <w:marBottom w:val="0"/>
      <w:divBdr>
        <w:top w:val="none" w:sz="0" w:space="0" w:color="auto"/>
        <w:left w:val="none" w:sz="0" w:space="0" w:color="auto"/>
        <w:bottom w:val="none" w:sz="0" w:space="0" w:color="auto"/>
        <w:right w:val="none" w:sz="0" w:space="0" w:color="auto"/>
      </w:divBdr>
    </w:div>
    <w:div w:id="126171350">
      <w:bodyDiv w:val="1"/>
      <w:marLeft w:val="0"/>
      <w:marRight w:val="0"/>
      <w:marTop w:val="0"/>
      <w:marBottom w:val="0"/>
      <w:divBdr>
        <w:top w:val="none" w:sz="0" w:space="0" w:color="auto"/>
        <w:left w:val="none" w:sz="0" w:space="0" w:color="auto"/>
        <w:bottom w:val="none" w:sz="0" w:space="0" w:color="auto"/>
        <w:right w:val="none" w:sz="0" w:space="0" w:color="auto"/>
      </w:divBdr>
    </w:div>
    <w:div w:id="138423996">
      <w:bodyDiv w:val="1"/>
      <w:marLeft w:val="0"/>
      <w:marRight w:val="0"/>
      <w:marTop w:val="0"/>
      <w:marBottom w:val="0"/>
      <w:divBdr>
        <w:top w:val="none" w:sz="0" w:space="0" w:color="auto"/>
        <w:left w:val="none" w:sz="0" w:space="0" w:color="auto"/>
        <w:bottom w:val="none" w:sz="0" w:space="0" w:color="auto"/>
        <w:right w:val="none" w:sz="0" w:space="0" w:color="auto"/>
      </w:divBdr>
    </w:div>
    <w:div w:id="138425306">
      <w:bodyDiv w:val="1"/>
      <w:marLeft w:val="0"/>
      <w:marRight w:val="0"/>
      <w:marTop w:val="0"/>
      <w:marBottom w:val="0"/>
      <w:divBdr>
        <w:top w:val="none" w:sz="0" w:space="0" w:color="auto"/>
        <w:left w:val="none" w:sz="0" w:space="0" w:color="auto"/>
        <w:bottom w:val="none" w:sz="0" w:space="0" w:color="auto"/>
        <w:right w:val="none" w:sz="0" w:space="0" w:color="auto"/>
      </w:divBdr>
    </w:div>
    <w:div w:id="145585739">
      <w:bodyDiv w:val="1"/>
      <w:marLeft w:val="0"/>
      <w:marRight w:val="0"/>
      <w:marTop w:val="0"/>
      <w:marBottom w:val="0"/>
      <w:divBdr>
        <w:top w:val="none" w:sz="0" w:space="0" w:color="auto"/>
        <w:left w:val="none" w:sz="0" w:space="0" w:color="auto"/>
        <w:bottom w:val="none" w:sz="0" w:space="0" w:color="auto"/>
        <w:right w:val="none" w:sz="0" w:space="0" w:color="auto"/>
      </w:divBdr>
    </w:div>
    <w:div w:id="145900140">
      <w:bodyDiv w:val="1"/>
      <w:marLeft w:val="0"/>
      <w:marRight w:val="0"/>
      <w:marTop w:val="0"/>
      <w:marBottom w:val="0"/>
      <w:divBdr>
        <w:top w:val="none" w:sz="0" w:space="0" w:color="auto"/>
        <w:left w:val="none" w:sz="0" w:space="0" w:color="auto"/>
        <w:bottom w:val="none" w:sz="0" w:space="0" w:color="auto"/>
        <w:right w:val="none" w:sz="0" w:space="0" w:color="auto"/>
      </w:divBdr>
    </w:div>
    <w:div w:id="245307609">
      <w:bodyDiv w:val="1"/>
      <w:marLeft w:val="0"/>
      <w:marRight w:val="0"/>
      <w:marTop w:val="0"/>
      <w:marBottom w:val="0"/>
      <w:divBdr>
        <w:top w:val="none" w:sz="0" w:space="0" w:color="auto"/>
        <w:left w:val="none" w:sz="0" w:space="0" w:color="auto"/>
        <w:bottom w:val="none" w:sz="0" w:space="0" w:color="auto"/>
        <w:right w:val="none" w:sz="0" w:space="0" w:color="auto"/>
      </w:divBdr>
    </w:div>
    <w:div w:id="250435503">
      <w:bodyDiv w:val="1"/>
      <w:marLeft w:val="0"/>
      <w:marRight w:val="0"/>
      <w:marTop w:val="0"/>
      <w:marBottom w:val="0"/>
      <w:divBdr>
        <w:top w:val="none" w:sz="0" w:space="0" w:color="auto"/>
        <w:left w:val="none" w:sz="0" w:space="0" w:color="auto"/>
        <w:bottom w:val="none" w:sz="0" w:space="0" w:color="auto"/>
        <w:right w:val="none" w:sz="0" w:space="0" w:color="auto"/>
      </w:divBdr>
    </w:div>
    <w:div w:id="336273326">
      <w:bodyDiv w:val="1"/>
      <w:marLeft w:val="0"/>
      <w:marRight w:val="0"/>
      <w:marTop w:val="0"/>
      <w:marBottom w:val="0"/>
      <w:divBdr>
        <w:top w:val="none" w:sz="0" w:space="0" w:color="auto"/>
        <w:left w:val="none" w:sz="0" w:space="0" w:color="auto"/>
        <w:bottom w:val="none" w:sz="0" w:space="0" w:color="auto"/>
        <w:right w:val="none" w:sz="0" w:space="0" w:color="auto"/>
      </w:divBdr>
    </w:div>
    <w:div w:id="336927476">
      <w:bodyDiv w:val="1"/>
      <w:marLeft w:val="0"/>
      <w:marRight w:val="0"/>
      <w:marTop w:val="0"/>
      <w:marBottom w:val="0"/>
      <w:divBdr>
        <w:top w:val="none" w:sz="0" w:space="0" w:color="auto"/>
        <w:left w:val="none" w:sz="0" w:space="0" w:color="auto"/>
        <w:bottom w:val="none" w:sz="0" w:space="0" w:color="auto"/>
        <w:right w:val="none" w:sz="0" w:space="0" w:color="auto"/>
      </w:divBdr>
    </w:div>
    <w:div w:id="402527846">
      <w:bodyDiv w:val="1"/>
      <w:marLeft w:val="0"/>
      <w:marRight w:val="0"/>
      <w:marTop w:val="0"/>
      <w:marBottom w:val="0"/>
      <w:divBdr>
        <w:top w:val="none" w:sz="0" w:space="0" w:color="auto"/>
        <w:left w:val="none" w:sz="0" w:space="0" w:color="auto"/>
        <w:bottom w:val="none" w:sz="0" w:space="0" w:color="auto"/>
        <w:right w:val="none" w:sz="0" w:space="0" w:color="auto"/>
      </w:divBdr>
    </w:div>
    <w:div w:id="490605693">
      <w:bodyDiv w:val="1"/>
      <w:marLeft w:val="0"/>
      <w:marRight w:val="0"/>
      <w:marTop w:val="0"/>
      <w:marBottom w:val="0"/>
      <w:divBdr>
        <w:top w:val="none" w:sz="0" w:space="0" w:color="auto"/>
        <w:left w:val="none" w:sz="0" w:space="0" w:color="auto"/>
        <w:bottom w:val="none" w:sz="0" w:space="0" w:color="auto"/>
        <w:right w:val="none" w:sz="0" w:space="0" w:color="auto"/>
      </w:divBdr>
    </w:div>
    <w:div w:id="535891019">
      <w:bodyDiv w:val="1"/>
      <w:marLeft w:val="0"/>
      <w:marRight w:val="0"/>
      <w:marTop w:val="0"/>
      <w:marBottom w:val="0"/>
      <w:divBdr>
        <w:top w:val="none" w:sz="0" w:space="0" w:color="auto"/>
        <w:left w:val="none" w:sz="0" w:space="0" w:color="auto"/>
        <w:bottom w:val="none" w:sz="0" w:space="0" w:color="auto"/>
        <w:right w:val="none" w:sz="0" w:space="0" w:color="auto"/>
      </w:divBdr>
    </w:div>
    <w:div w:id="540900335">
      <w:bodyDiv w:val="1"/>
      <w:marLeft w:val="0"/>
      <w:marRight w:val="0"/>
      <w:marTop w:val="0"/>
      <w:marBottom w:val="0"/>
      <w:divBdr>
        <w:top w:val="none" w:sz="0" w:space="0" w:color="auto"/>
        <w:left w:val="none" w:sz="0" w:space="0" w:color="auto"/>
        <w:bottom w:val="none" w:sz="0" w:space="0" w:color="auto"/>
        <w:right w:val="none" w:sz="0" w:space="0" w:color="auto"/>
      </w:divBdr>
    </w:div>
    <w:div w:id="624501353">
      <w:bodyDiv w:val="1"/>
      <w:marLeft w:val="0"/>
      <w:marRight w:val="0"/>
      <w:marTop w:val="0"/>
      <w:marBottom w:val="0"/>
      <w:divBdr>
        <w:top w:val="none" w:sz="0" w:space="0" w:color="auto"/>
        <w:left w:val="none" w:sz="0" w:space="0" w:color="auto"/>
        <w:bottom w:val="none" w:sz="0" w:space="0" w:color="auto"/>
        <w:right w:val="none" w:sz="0" w:space="0" w:color="auto"/>
      </w:divBdr>
    </w:div>
    <w:div w:id="681514883">
      <w:bodyDiv w:val="1"/>
      <w:marLeft w:val="0"/>
      <w:marRight w:val="0"/>
      <w:marTop w:val="0"/>
      <w:marBottom w:val="0"/>
      <w:divBdr>
        <w:top w:val="none" w:sz="0" w:space="0" w:color="auto"/>
        <w:left w:val="none" w:sz="0" w:space="0" w:color="auto"/>
        <w:bottom w:val="none" w:sz="0" w:space="0" w:color="auto"/>
        <w:right w:val="none" w:sz="0" w:space="0" w:color="auto"/>
      </w:divBdr>
    </w:div>
    <w:div w:id="686250630">
      <w:bodyDiv w:val="1"/>
      <w:marLeft w:val="0"/>
      <w:marRight w:val="0"/>
      <w:marTop w:val="0"/>
      <w:marBottom w:val="0"/>
      <w:divBdr>
        <w:top w:val="none" w:sz="0" w:space="0" w:color="auto"/>
        <w:left w:val="none" w:sz="0" w:space="0" w:color="auto"/>
        <w:bottom w:val="none" w:sz="0" w:space="0" w:color="auto"/>
        <w:right w:val="none" w:sz="0" w:space="0" w:color="auto"/>
      </w:divBdr>
    </w:div>
    <w:div w:id="706640017">
      <w:bodyDiv w:val="1"/>
      <w:marLeft w:val="0"/>
      <w:marRight w:val="0"/>
      <w:marTop w:val="0"/>
      <w:marBottom w:val="0"/>
      <w:divBdr>
        <w:top w:val="none" w:sz="0" w:space="0" w:color="auto"/>
        <w:left w:val="none" w:sz="0" w:space="0" w:color="auto"/>
        <w:bottom w:val="none" w:sz="0" w:space="0" w:color="auto"/>
        <w:right w:val="none" w:sz="0" w:space="0" w:color="auto"/>
      </w:divBdr>
    </w:div>
    <w:div w:id="777065732">
      <w:bodyDiv w:val="1"/>
      <w:marLeft w:val="0"/>
      <w:marRight w:val="0"/>
      <w:marTop w:val="0"/>
      <w:marBottom w:val="0"/>
      <w:divBdr>
        <w:top w:val="none" w:sz="0" w:space="0" w:color="auto"/>
        <w:left w:val="none" w:sz="0" w:space="0" w:color="auto"/>
        <w:bottom w:val="none" w:sz="0" w:space="0" w:color="auto"/>
        <w:right w:val="none" w:sz="0" w:space="0" w:color="auto"/>
      </w:divBdr>
    </w:div>
    <w:div w:id="851726449">
      <w:bodyDiv w:val="1"/>
      <w:marLeft w:val="0"/>
      <w:marRight w:val="0"/>
      <w:marTop w:val="0"/>
      <w:marBottom w:val="0"/>
      <w:divBdr>
        <w:top w:val="none" w:sz="0" w:space="0" w:color="auto"/>
        <w:left w:val="none" w:sz="0" w:space="0" w:color="auto"/>
        <w:bottom w:val="none" w:sz="0" w:space="0" w:color="auto"/>
        <w:right w:val="none" w:sz="0" w:space="0" w:color="auto"/>
      </w:divBdr>
    </w:div>
    <w:div w:id="881211924">
      <w:bodyDiv w:val="1"/>
      <w:marLeft w:val="0"/>
      <w:marRight w:val="0"/>
      <w:marTop w:val="0"/>
      <w:marBottom w:val="0"/>
      <w:divBdr>
        <w:top w:val="none" w:sz="0" w:space="0" w:color="auto"/>
        <w:left w:val="none" w:sz="0" w:space="0" w:color="auto"/>
        <w:bottom w:val="none" w:sz="0" w:space="0" w:color="auto"/>
        <w:right w:val="none" w:sz="0" w:space="0" w:color="auto"/>
      </w:divBdr>
    </w:div>
    <w:div w:id="940910978">
      <w:bodyDiv w:val="1"/>
      <w:marLeft w:val="0"/>
      <w:marRight w:val="0"/>
      <w:marTop w:val="0"/>
      <w:marBottom w:val="0"/>
      <w:divBdr>
        <w:top w:val="none" w:sz="0" w:space="0" w:color="auto"/>
        <w:left w:val="none" w:sz="0" w:space="0" w:color="auto"/>
        <w:bottom w:val="none" w:sz="0" w:space="0" w:color="auto"/>
        <w:right w:val="none" w:sz="0" w:space="0" w:color="auto"/>
      </w:divBdr>
    </w:div>
    <w:div w:id="947741607">
      <w:bodyDiv w:val="1"/>
      <w:marLeft w:val="0"/>
      <w:marRight w:val="0"/>
      <w:marTop w:val="0"/>
      <w:marBottom w:val="0"/>
      <w:divBdr>
        <w:top w:val="none" w:sz="0" w:space="0" w:color="auto"/>
        <w:left w:val="none" w:sz="0" w:space="0" w:color="auto"/>
        <w:bottom w:val="none" w:sz="0" w:space="0" w:color="auto"/>
        <w:right w:val="none" w:sz="0" w:space="0" w:color="auto"/>
      </w:divBdr>
      <w:divsChild>
        <w:div w:id="240337806">
          <w:marLeft w:val="0"/>
          <w:marRight w:val="0"/>
          <w:marTop w:val="0"/>
          <w:marBottom w:val="0"/>
          <w:divBdr>
            <w:top w:val="none" w:sz="0" w:space="0" w:color="auto"/>
            <w:left w:val="none" w:sz="0" w:space="0" w:color="auto"/>
            <w:bottom w:val="none" w:sz="0" w:space="0" w:color="auto"/>
            <w:right w:val="none" w:sz="0" w:space="0" w:color="auto"/>
          </w:divBdr>
          <w:divsChild>
            <w:div w:id="786437352">
              <w:marLeft w:val="0"/>
              <w:marRight w:val="0"/>
              <w:marTop w:val="0"/>
              <w:marBottom w:val="0"/>
              <w:divBdr>
                <w:top w:val="none" w:sz="0" w:space="0" w:color="auto"/>
                <w:left w:val="none" w:sz="0" w:space="0" w:color="auto"/>
                <w:bottom w:val="none" w:sz="0" w:space="0" w:color="auto"/>
                <w:right w:val="none" w:sz="0" w:space="0" w:color="auto"/>
              </w:divBdr>
              <w:divsChild>
                <w:div w:id="689379070">
                  <w:marLeft w:val="0"/>
                  <w:marRight w:val="0"/>
                  <w:marTop w:val="0"/>
                  <w:marBottom w:val="0"/>
                  <w:divBdr>
                    <w:top w:val="none" w:sz="0" w:space="0" w:color="auto"/>
                    <w:left w:val="none" w:sz="0" w:space="0" w:color="auto"/>
                    <w:bottom w:val="none" w:sz="0" w:space="0" w:color="auto"/>
                    <w:right w:val="none" w:sz="0" w:space="0" w:color="auto"/>
                  </w:divBdr>
                  <w:divsChild>
                    <w:div w:id="983391623">
                      <w:marLeft w:val="0"/>
                      <w:marRight w:val="0"/>
                      <w:marTop w:val="0"/>
                      <w:marBottom w:val="0"/>
                      <w:divBdr>
                        <w:top w:val="none" w:sz="0" w:space="0" w:color="auto"/>
                        <w:left w:val="none" w:sz="0" w:space="0" w:color="auto"/>
                        <w:bottom w:val="none" w:sz="0" w:space="0" w:color="auto"/>
                        <w:right w:val="none" w:sz="0" w:space="0" w:color="auto"/>
                      </w:divBdr>
                      <w:divsChild>
                        <w:div w:id="507209093">
                          <w:marLeft w:val="0"/>
                          <w:marRight w:val="0"/>
                          <w:marTop w:val="0"/>
                          <w:marBottom w:val="0"/>
                          <w:divBdr>
                            <w:top w:val="none" w:sz="0" w:space="0" w:color="auto"/>
                            <w:left w:val="none" w:sz="0" w:space="0" w:color="auto"/>
                            <w:bottom w:val="none" w:sz="0" w:space="0" w:color="auto"/>
                            <w:right w:val="none" w:sz="0" w:space="0" w:color="auto"/>
                          </w:divBdr>
                          <w:divsChild>
                            <w:div w:id="951866271">
                              <w:marLeft w:val="0"/>
                              <w:marRight w:val="0"/>
                              <w:marTop w:val="0"/>
                              <w:marBottom w:val="0"/>
                              <w:divBdr>
                                <w:top w:val="none" w:sz="0" w:space="0" w:color="auto"/>
                                <w:left w:val="none" w:sz="0" w:space="0" w:color="auto"/>
                                <w:bottom w:val="none" w:sz="0" w:space="0" w:color="auto"/>
                                <w:right w:val="none" w:sz="0" w:space="0" w:color="auto"/>
                              </w:divBdr>
                              <w:divsChild>
                                <w:div w:id="1860699481">
                                  <w:marLeft w:val="0"/>
                                  <w:marRight w:val="0"/>
                                  <w:marTop w:val="0"/>
                                  <w:marBottom w:val="0"/>
                                  <w:divBdr>
                                    <w:top w:val="none" w:sz="0" w:space="0" w:color="auto"/>
                                    <w:left w:val="none" w:sz="0" w:space="0" w:color="auto"/>
                                    <w:bottom w:val="none" w:sz="0" w:space="0" w:color="auto"/>
                                    <w:right w:val="none" w:sz="0" w:space="0" w:color="auto"/>
                                  </w:divBdr>
                                  <w:divsChild>
                                    <w:div w:id="194579670">
                                      <w:marLeft w:val="0"/>
                                      <w:marRight w:val="0"/>
                                      <w:marTop w:val="0"/>
                                      <w:marBottom w:val="0"/>
                                      <w:divBdr>
                                        <w:top w:val="none" w:sz="0" w:space="0" w:color="auto"/>
                                        <w:left w:val="none" w:sz="0" w:space="0" w:color="auto"/>
                                        <w:bottom w:val="none" w:sz="0" w:space="0" w:color="auto"/>
                                        <w:right w:val="none" w:sz="0" w:space="0" w:color="auto"/>
                                      </w:divBdr>
                                      <w:divsChild>
                                        <w:div w:id="1365525115">
                                          <w:marLeft w:val="0"/>
                                          <w:marRight w:val="0"/>
                                          <w:marTop w:val="0"/>
                                          <w:marBottom w:val="0"/>
                                          <w:divBdr>
                                            <w:top w:val="none" w:sz="0" w:space="0" w:color="auto"/>
                                            <w:left w:val="none" w:sz="0" w:space="0" w:color="auto"/>
                                            <w:bottom w:val="none" w:sz="0" w:space="0" w:color="auto"/>
                                            <w:right w:val="none" w:sz="0" w:space="0" w:color="auto"/>
                                          </w:divBdr>
                                          <w:divsChild>
                                            <w:div w:id="69355867">
                                              <w:marLeft w:val="0"/>
                                              <w:marRight w:val="0"/>
                                              <w:marTop w:val="0"/>
                                              <w:marBottom w:val="0"/>
                                              <w:divBdr>
                                                <w:top w:val="none" w:sz="0" w:space="0" w:color="auto"/>
                                                <w:left w:val="none" w:sz="0" w:space="0" w:color="auto"/>
                                                <w:bottom w:val="none" w:sz="0" w:space="0" w:color="auto"/>
                                                <w:right w:val="none" w:sz="0" w:space="0" w:color="auto"/>
                                              </w:divBdr>
                                              <w:divsChild>
                                                <w:div w:id="1312714309">
                                                  <w:marLeft w:val="0"/>
                                                  <w:marRight w:val="0"/>
                                                  <w:marTop w:val="0"/>
                                                  <w:marBottom w:val="0"/>
                                                  <w:divBdr>
                                                    <w:top w:val="none" w:sz="0" w:space="0" w:color="auto"/>
                                                    <w:left w:val="none" w:sz="0" w:space="0" w:color="auto"/>
                                                    <w:bottom w:val="none" w:sz="0" w:space="0" w:color="auto"/>
                                                    <w:right w:val="none" w:sz="0" w:space="0" w:color="auto"/>
                                                  </w:divBdr>
                                                  <w:divsChild>
                                                    <w:div w:id="1635021957">
                                                      <w:marLeft w:val="0"/>
                                                      <w:marRight w:val="0"/>
                                                      <w:marTop w:val="0"/>
                                                      <w:marBottom w:val="0"/>
                                                      <w:divBdr>
                                                        <w:top w:val="none" w:sz="0" w:space="0" w:color="auto"/>
                                                        <w:left w:val="none" w:sz="0" w:space="0" w:color="auto"/>
                                                        <w:bottom w:val="none" w:sz="0" w:space="0" w:color="auto"/>
                                                        <w:right w:val="none" w:sz="0" w:space="0" w:color="auto"/>
                                                      </w:divBdr>
                                                      <w:divsChild>
                                                        <w:div w:id="8978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008001">
      <w:bodyDiv w:val="1"/>
      <w:marLeft w:val="0"/>
      <w:marRight w:val="0"/>
      <w:marTop w:val="0"/>
      <w:marBottom w:val="0"/>
      <w:divBdr>
        <w:top w:val="none" w:sz="0" w:space="0" w:color="auto"/>
        <w:left w:val="none" w:sz="0" w:space="0" w:color="auto"/>
        <w:bottom w:val="none" w:sz="0" w:space="0" w:color="auto"/>
        <w:right w:val="none" w:sz="0" w:space="0" w:color="auto"/>
      </w:divBdr>
    </w:div>
    <w:div w:id="951403892">
      <w:bodyDiv w:val="1"/>
      <w:marLeft w:val="0"/>
      <w:marRight w:val="0"/>
      <w:marTop w:val="0"/>
      <w:marBottom w:val="0"/>
      <w:divBdr>
        <w:top w:val="none" w:sz="0" w:space="0" w:color="auto"/>
        <w:left w:val="none" w:sz="0" w:space="0" w:color="auto"/>
        <w:bottom w:val="none" w:sz="0" w:space="0" w:color="auto"/>
        <w:right w:val="none" w:sz="0" w:space="0" w:color="auto"/>
      </w:divBdr>
    </w:div>
    <w:div w:id="1027877118">
      <w:bodyDiv w:val="1"/>
      <w:marLeft w:val="0"/>
      <w:marRight w:val="0"/>
      <w:marTop w:val="0"/>
      <w:marBottom w:val="0"/>
      <w:divBdr>
        <w:top w:val="none" w:sz="0" w:space="0" w:color="auto"/>
        <w:left w:val="none" w:sz="0" w:space="0" w:color="auto"/>
        <w:bottom w:val="none" w:sz="0" w:space="0" w:color="auto"/>
        <w:right w:val="none" w:sz="0" w:space="0" w:color="auto"/>
      </w:divBdr>
    </w:div>
    <w:div w:id="1029799176">
      <w:bodyDiv w:val="1"/>
      <w:marLeft w:val="0"/>
      <w:marRight w:val="0"/>
      <w:marTop w:val="0"/>
      <w:marBottom w:val="0"/>
      <w:divBdr>
        <w:top w:val="none" w:sz="0" w:space="0" w:color="auto"/>
        <w:left w:val="none" w:sz="0" w:space="0" w:color="auto"/>
        <w:bottom w:val="none" w:sz="0" w:space="0" w:color="auto"/>
        <w:right w:val="none" w:sz="0" w:space="0" w:color="auto"/>
      </w:divBdr>
      <w:divsChild>
        <w:div w:id="1692417907">
          <w:marLeft w:val="0"/>
          <w:marRight w:val="0"/>
          <w:marTop w:val="0"/>
          <w:marBottom w:val="0"/>
          <w:divBdr>
            <w:top w:val="none" w:sz="0" w:space="0" w:color="auto"/>
            <w:left w:val="none" w:sz="0" w:space="0" w:color="auto"/>
            <w:bottom w:val="none" w:sz="0" w:space="0" w:color="auto"/>
            <w:right w:val="none" w:sz="0" w:space="0" w:color="auto"/>
          </w:divBdr>
          <w:divsChild>
            <w:div w:id="455871308">
              <w:marLeft w:val="0"/>
              <w:marRight w:val="0"/>
              <w:marTop w:val="0"/>
              <w:marBottom w:val="0"/>
              <w:divBdr>
                <w:top w:val="none" w:sz="0" w:space="0" w:color="auto"/>
                <w:left w:val="none" w:sz="0" w:space="0" w:color="auto"/>
                <w:bottom w:val="none" w:sz="0" w:space="0" w:color="auto"/>
                <w:right w:val="none" w:sz="0" w:space="0" w:color="auto"/>
              </w:divBdr>
              <w:divsChild>
                <w:div w:id="792599568">
                  <w:marLeft w:val="0"/>
                  <w:marRight w:val="0"/>
                  <w:marTop w:val="0"/>
                  <w:marBottom w:val="0"/>
                  <w:divBdr>
                    <w:top w:val="none" w:sz="0" w:space="0" w:color="auto"/>
                    <w:left w:val="none" w:sz="0" w:space="0" w:color="auto"/>
                    <w:bottom w:val="none" w:sz="0" w:space="0" w:color="auto"/>
                    <w:right w:val="none" w:sz="0" w:space="0" w:color="auto"/>
                  </w:divBdr>
                  <w:divsChild>
                    <w:div w:id="1721321925">
                      <w:marLeft w:val="0"/>
                      <w:marRight w:val="0"/>
                      <w:marTop w:val="0"/>
                      <w:marBottom w:val="0"/>
                      <w:divBdr>
                        <w:top w:val="none" w:sz="0" w:space="0" w:color="auto"/>
                        <w:left w:val="none" w:sz="0" w:space="0" w:color="auto"/>
                        <w:bottom w:val="none" w:sz="0" w:space="0" w:color="auto"/>
                        <w:right w:val="none" w:sz="0" w:space="0" w:color="auto"/>
                      </w:divBdr>
                      <w:divsChild>
                        <w:div w:id="677461015">
                          <w:marLeft w:val="0"/>
                          <w:marRight w:val="0"/>
                          <w:marTop w:val="0"/>
                          <w:marBottom w:val="0"/>
                          <w:divBdr>
                            <w:top w:val="none" w:sz="0" w:space="0" w:color="auto"/>
                            <w:left w:val="none" w:sz="0" w:space="0" w:color="auto"/>
                            <w:bottom w:val="none" w:sz="0" w:space="0" w:color="auto"/>
                            <w:right w:val="none" w:sz="0" w:space="0" w:color="auto"/>
                          </w:divBdr>
                          <w:divsChild>
                            <w:div w:id="1089733186">
                              <w:marLeft w:val="0"/>
                              <w:marRight w:val="0"/>
                              <w:marTop w:val="0"/>
                              <w:marBottom w:val="0"/>
                              <w:divBdr>
                                <w:top w:val="none" w:sz="0" w:space="0" w:color="auto"/>
                                <w:left w:val="none" w:sz="0" w:space="0" w:color="auto"/>
                                <w:bottom w:val="none" w:sz="0" w:space="0" w:color="auto"/>
                                <w:right w:val="none" w:sz="0" w:space="0" w:color="auto"/>
                              </w:divBdr>
                              <w:divsChild>
                                <w:div w:id="1946694765">
                                  <w:marLeft w:val="0"/>
                                  <w:marRight w:val="0"/>
                                  <w:marTop w:val="0"/>
                                  <w:marBottom w:val="0"/>
                                  <w:divBdr>
                                    <w:top w:val="none" w:sz="0" w:space="0" w:color="auto"/>
                                    <w:left w:val="none" w:sz="0" w:space="0" w:color="auto"/>
                                    <w:bottom w:val="none" w:sz="0" w:space="0" w:color="auto"/>
                                    <w:right w:val="none" w:sz="0" w:space="0" w:color="auto"/>
                                  </w:divBdr>
                                  <w:divsChild>
                                    <w:div w:id="2008098388">
                                      <w:marLeft w:val="0"/>
                                      <w:marRight w:val="0"/>
                                      <w:marTop w:val="0"/>
                                      <w:marBottom w:val="0"/>
                                      <w:divBdr>
                                        <w:top w:val="none" w:sz="0" w:space="0" w:color="auto"/>
                                        <w:left w:val="none" w:sz="0" w:space="0" w:color="auto"/>
                                        <w:bottom w:val="none" w:sz="0" w:space="0" w:color="auto"/>
                                        <w:right w:val="none" w:sz="0" w:space="0" w:color="auto"/>
                                      </w:divBdr>
                                      <w:divsChild>
                                        <w:div w:id="243103842">
                                          <w:marLeft w:val="0"/>
                                          <w:marRight w:val="0"/>
                                          <w:marTop w:val="0"/>
                                          <w:marBottom w:val="0"/>
                                          <w:divBdr>
                                            <w:top w:val="none" w:sz="0" w:space="0" w:color="auto"/>
                                            <w:left w:val="none" w:sz="0" w:space="0" w:color="auto"/>
                                            <w:bottom w:val="none" w:sz="0" w:space="0" w:color="auto"/>
                                            <w:right w:val="none" w:sz="0" w:space="0" w:color="auto"/>
                                          </w:divBdr>
                                          <w:divsChild>
                                            <w:div w:id="574828114">
                                              <w:marLeft w:val="0"/>
                                              <w:marRight w:val="0"/>
                                              <w:marTop w:val="0"/>
                                              <w:marBottom w:val="0"/>
                                              <w:divBdr>
                                                <w:top w:val="none" w:sz="0" w:space="0" w:color="auto"/>
                                                <w:left w:val="none" w:sz="0" w:space="0" w:color="auto"/>
                                                <w:bottom w:val="none" w:sz="0" w:space="0" w:color="auto"/>
                                                <w:right w:val="none" w:sz="0" w:space="0" w:color="auto"/>
                                              </w:divBdr>
                                              <w:divsChild>
                                                <w:div w:id="1181239238">
                                                  <w:marLeft w:val="0"/>
                                                  <w:marRight w:val="0"/>
                                                  <w:marTop w:val="0"/>
                                                  <w:marBottom w:val="0"/>
                                                  <w:divBdr>
                                                    <w:top w:val="none" w:sz="0" w:space="0" w:color="auto"/>
                                                    <w:left w:val="none" w:sz="0" w:space="0" w:color="auto"/>
                                                    <w:bottom w:val="none" w:sz="0" w:space="0" w:color="auto"/>
                                                    <w:right w:val="none" w:sz="0" w:space="0" w:color="auto"/>
                                                  </w:divBdr>
                                                  <w:divsChild>
                                                    <w:div w:id="623997555">
                                                      <w:marLeft w:val="0"/>
                                                      <w:marRight w:val="0"/>
                                                      <w:marTop w:val="0"/>
                                                      <w:marBottom w:val="0"/>
                                                      <w:divBdr>
                                                        <w:top w:val="none" w:sz="0" w:space="0" w:color="auto"/>
                                                        <w:left w:val="none" w:sz="0" w:space="0" w:color="auto"/>
                                                        <w:bottom w:val="none" w:sz="0" w:space="0" w:color="auto"/>
                                                        <w:right w:val="none" w:sz="0" w:space="0" w:color="auto"/>
                                                      </w:divBdr>
                                                      <w:divsChild>
                                                        <w:div w:id="1842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493468">
      <w:bodyDiv w:val="1"/>
      <w:marLeft w:val="0"/>
      <w:marRight w:val="0"/>
      <w:marTop w:val="0"/>
      <w:marBottom w:val="0"/>
      <w:divBdr>
        <w:top w:val="none" w:sz="0" w:space="0" w:color="auto"/>
        <w:left w:val="none" w:sz="0" w:space="0" w:color="auto"/>
        <w:bottom w:val="none" w:sz="0" w:space="0" w:color="auto"/>
        <w:right w:val="none" w:sz="0" w:space="0" w:color="auto"/>
      </w:divBdr>
    </w:div>
    <w:div w:id="1037122214">
      <w:bodyDiv w:val="1"/>
      <w:marLeft w:val="0"/>
      <w:marRight w:val="0"/>
      <w:marTop w:val="0"/>
      <w:marBottom w:val="0"/>
      <w:divBdr>
        <w:top w:val="none" w:sz="0" w:space="0" w:color="auto"/>
        <w:left w:val="none" w:sz="0" w:space="0" w:color="auto"/>
        <w:bottom w:val="none" w:sz="0" w:space="0" w:color="auto"/>
        <w:right w:val="none" w:sz="0" w:space="0" w:color="auto"/>
      </w:divBdr>
    </w:div>
    <w:div w:id="1041783743">
      <w:bodyDiv w:val="1"/>
      <w:marLeft w:val="0"/>
      <w:marRight w:val="0"/>
      <w:marTop w:val="0"/>
      <w:marBottom w:val="0"/>
      <w:divBdr>
        <w:top w:val="none" w:sz="0" w:space="0" w:color="auto"/>
        <w:left w:val="none" w:sz="0" w:space="0" w:color="auto"/>
        <w:bottom w:val="none" w:sz="0" w:space="0" w:color="auto"/>
        <w:right w:val="none" w:sz="0" w:space="0" w:color="auto"/>
      </w:divBdr>
    </w:div>
    <w:div w:id="1069496203">
      <w:bodyDiv w:val="1"/>
      <w:marLeft w:val="0"/>
      <w:marRight w:val="0"/>
      <w:marTop w:val="0"/>
      <w:marBottom w:val="0"/>
      <w:divBdr>
        <w:top w:val="none" w:sz="0" w:space="0" w:color="auto"/>
        <w:left w:val="none" w:sz="0" w:space="0" w:color="auto"/>
        <w:bottom w:val="none" w:sz="0" w:space="0" w:color="auto"/>
        <w:right w:val="none" w:sz="0" w:space="0" w:color="auto"/>
      </w:divBdr>
    </w:div>
    <w:div w:id="1088044779">
      <w:bodyDiv w:val="1"/>
      <w:marLeft w:val="0"/>
      <w:marRight w:val="0"/>
      <w:marTop w:val="0"/>
      <w:marBottom w:val="0"/>
      <w:divBdr>
        <w:top w:val="none" w:sz="0" w:space="0" w:color="auto"/>
        <w:left w:val="none" w:sz="0" w:space="0" w:color="auto"/>
        <w:bottom w:val="none" w:sz="0" w:space="0" w:color="auto"/>
        <w:right w:val="none" w:sz="0" w:space="0" w:color="auto"/>
      </w:divBdr>
    </w:div>
    <w:div w:id="1097404535">
      <w:bodyDiv w:val="1"/>
      <w:marLeft w:val="0"/>
      <w:marRight w:val="0"/>
      <w:marTop w:val="0"/>
      <w:marBottom w:val="0"/>
      <w:divBdr>
        <w:top w:val="none" w:sz="0" w:space="0" w:color="auto"/>
        <w:left w:val="none" w:sz="0" w:space="0" w:color="auto"/>
        <w:bottom w:val="none" w:sz="0" w:space="0" w:color="auto"/>
        <w:right w:val="none" w:sz="0" w:space="0" w:color="auto"/>
      </w:divBdr>
    </w:div>
    <w:div w:id="1099066026">
      <w:bodyDiv w:val="1"/>
      <w:marLeft w:val="0"/>
      <w:marRight w:val="0"/>
      <w:marTop w:val="0"/>
      <w:marBottom w:val="0"/>
      <w:divBdr>
        <w:top w:val="none" w:sz="0" w:space="0" w:color="auto"/>
        <w:left w:val="none" w:sz="0" w:space="0" w:color="auto"/>
        <w:bottom w:val="none" w:sz="0" w:space="0" w:color="auto"/>
        <w:right w:val="none" w:sz="0" w:space="0" w:color="auto"/>
      </w:divBdr>
    </w:div>
    <w:div w:id="1104612798">
      <w:bodyDiv w:val="1"/>
      <w:marLeft w:val="0"/>
      <w:marRight w:val="0"/>
      <w:marTop w:val="0"/>
      <w:marBottom w:val="0"/>
      <w:divBdr>
        <w:top w:val="none" w:sz="0" w:space="0" w:color="auto"/>
        <w:left w:val="none" w:sz="0" w:space="0" w:color="auto"/>
        <w:bottom w:val="none" w:sz="0" w:space="0" w:color="auto"/>
        <w:right w:val="none" w:sz="0" w:space="0" w:color="auto"/>
      </w:divBdr>
    </w:div>
    <w:div w:id="1119572443">
      <w:bodyDiv w:val="1"/>
      <w:marLeft w:val="0"/>
      <w:marRight w:val="0"/>
      <w:marTop w:val="0"/>
      <w:marBottom w:val="0"/>
      <w:divBdr>
        <w:top w:val="none" w:sz="0" w:space="0" w:color="auto"/>
        <w:left w:val="none" w:sz="0" w:space="0" w:color="auto"/>
        <w:bottom w:val="none" w:sz="0" w:space="0" w:color="auto"/>
        <w:right w:val="none" w:sz="0" w:space="0" w:color="auto"/>
      </w:divBdr>
    </w:div>
    <w:div w:id="1135173601">
      <w:bodyDiv w:val="1"/>
      <w:marLeft w:val="0"/>
      <w:marRight w:val="0"/>
      <w:marTop w:val="0"/>
      <w:marBottom w:val="0"/>
      <w:divBdr>
        <w:top w:val="none" w:sz="0" w:space="0" w:color="auto"/>
        <w:left w:val="none" w:sz="0" w:space="0" w:color="auto"/>
        <w:bottom w:val="none" w:sz="0" w:space="0" w:color="auto"/>
        <w:right w:val="none" w:sz="0" w:space="0" w:color="auto"/>
      </w:divBdr>
    </w:div>
    <w:div w:id="1190145652">
      <w:bodyDiv w:val="1"/>
      <w:marLeft w:val="0"/>
      <w:marRight w:val="0"/>
      <w:marTop w:val="0"/>
      <w:marBottom w:val="0"/>
      <w:divBdr>
        <w:top w:val="none" w:sz="0" w:space="0" w:color="auto"/>
        <w:left w:val="none" w:sz="0" w:space="0" w:color="auto"/>
        <w:bottom w:val="none" w:sz="0" w:space="0" w:color="auto"/>
        <w:right w:val="none" w:sz="0" w:space="0" w:color="auto"/>
      </w:divBdr>
    </w:div>
    <w:div w:id="1218276071">
      <w:bodyDiv w:val="1"/>
      <w:marLeft w:val="0"/>
      <w:marRight w:val="0"/>
      <w:marTop w:val="0"/>
      <w:marBottom w:val="0"/>
      <w:divBdr>
        <w:top w:val="none" w:sz="0" w:space="0" w:color="auto"/>
        <w:left w:val="none" w:sz="0" w:space="0" w:color="auto"/>
        <w:bottom w:val="none" w:sz="0" w:space="0" w:color="auto"/>
        <w:right w:val="none" w:sz="0" w:space="0" w:color="auto"/>
      </w:divBdr>
    </w:div>
    <w:div w:id="1246957376">
      <w:bodyDiv w:val="1"/>
      <w:marLeft w:val="0"/>
      <w:marRight w:val="0"/>
      <w:marTop w:val="0"/>
      <w:marBottom w:val="0"/>
      <w:divBdr>
        <w:top w:val="none" w:sz="0" w:space="0" w:color="auto"/>
        <w:left w:val="none" w:sz="0" w:space="0" w:color="auto"/>
        <w:bottom w:val="none" w:sz="0" w:space="0" w:color="auto"/>
        <w:right w:val="none" w:sz="0" w:space="0" w:color="auto"/>
      </w:divBdr>
    </w:div>
    <w:div w:id="1281835528">
      <w:bodyDiv w:val="1"/>
      <w:marLeft w:val="0"/>
      <w:marRight w:val="0"/>
      <w:marTop w:val="0"/>
      <w:marBottom w:val="0"/>
      <w:divBdr>
        <w:top w:val="none" w:sz="0" w:space="0" w:color="auto"/>
        <w:left w:val="none" w:sz="0" w:space="0" w:color="auto"/>
        <w:bottom w:val="none" w:sz="0" w:space="0" w:color="auto"/>
        <w:right w:val="none" w:sz="0" w:space="0" w:color="auto"/>
      </w:divBdr>
    </w:div>
    <w:div w:id="1297025938">
      <w:bodyDiv w:val="1"/>
      <w:marLeft w:val="0"/>
      <w:marRight w:val="0"/>
      <w:marTop w:val="0"/>
      <w:marBottom w:val="0"/>
      <w:divBdr>
        <w:top w:val="none" w:sz="0" w:space="0" w:color="auto"/>
        <w:left w:val="none" w:sz="0" w:space="0" w:color="auto"/>
        <w:bottom w:val="none" w:sz="0" w:space="0" w:color="auto"/>
        <w:right w:val="none" w:sz="0" w:space="0" w:color="auto"/>
      </w:divBdr>
    </w:div>
    <w:div w:id="1379739278">
      <w:bodyDiv w:val="1"/>
      <w:marLeft w:val="0"/>
      <w:marRight w:val="0"/>
      <w:marTop w:val="0"/>
      <w:marBottom w:val="0"/>
      <w:divBdr>
        <w:top w:val="none" w:sz="0" w:space="0" w:color="auto"/>
        <w:left w:val="none" w:sz="0" w:space="0" w:color="auto"/>
        <w:bottom w:val="none" w:sz="0" w:space="0" w:color="auto"/>
        <w:right w:val="none" w:sz="0" w:space="0" w:color="auto"/>
      </w:divBdr>
    </w:div>
    <w:div w:id="1385449785">
      <w:bodyDiv w:val="1"/>
      <w:marLeft w:val="0"/>
      <w:marRight w:val="0"/>
      <w:marTop w:val="0"/>
      <w:marBottom w:val="0"/>
      <w:divBdr>
        <w:top w:val="none" w:sz="0" w:space="0" w:color="auto"/>
        <w:left w:val="none" w:sz="0" w:space="0" w:color="auto"/>
        <w:bottom w:val="none" w:sz="0" w:space="0" w:color="auto"/>
        <w:right w:val="none" w:sz="0" w:space="0" w:color="auto"/>
      </w:divBdr>
    </w:div>
    <w:div w:id="1423575020">
      <w:bodyDiv w:val="1"/>
      <w:marLeft w:val="0"/>
      <w:marRight w:val="0"/>
      <w:marTop w:val="0"/>
      <w:marBottom w:val="0"/>
      <w:divBdr>
        <w:top w:val="none" w:sz="0" w:space="0" w:color="auto"/>
        <w:left w:val="none" w:sz="0" w:space="0" w:color="auto"/>
        <w:bottom w:val="none" w:sz="0" w:space="0" w:color="auto"/>
        <w:right w:val="none" w:sz="0" w:space="0" w:color="auto"/>
      </w:divBdr>
    </w:div>
    <w:div w:id="1423792238">
      <w:bodyDiv w:val="1"/>
      <w:marLeft w:val="0"/>
      <w:marRight w:val="0"/>
      <w:marTop w:val="0"/>
      <w:marBottom w:val="0"/>
      <w:divBdr>
        <w:top w:val="none" w:sz="0" w:space="0" w:color="auto"/>
        <w:left w:val="none" w:sz="0" w:space="0" w:color="auto"/>
        <w:bottom w:val="none" w:sz="0" w:space="0" w:color="auto"/>
        <w:right w:val="none" w:sz="0" w:space="0" w:color="auto"/>
      </w:divBdr>
      <w:divsChild>
        <w:div w:id="2063824363">
          <w:marLeft w:val="0"/>
          <w:marRight w:val="0"/>
          <w:marTop w:val="0"/>
          <w:marBottom w:val="0"/>
          <w:divBdr>
            <w:top w:val="none" w:sz="0" w:space="0" w:color="auto"/>
            <w:left w:val="none" w:sz="0" w:space="0" w:color="auto"/>
            <w:bottom w:val="none" w:sz="0" w:space="0" w:color="auto"/>
            <w:right w:val="none" w:sz="0" w:space="0" w:color="auto"/>
          </w:divBdr>
          <w:divsChild>
            <w:div w:id="884024803">
              <w:marLeft w:val="0"/>
              <w:marRight w:val="0"/>
              <w:marTop w:val="0"/>
              <w:marBottom w:val="0"/>
              <w:divBdr>
                <w:top w:val="none" w:sz="0" w:space="0" w:color="auto"/>
                <w:left w:val="none" w:sz="0" w:space="0" w:color="auto"/>
                <w:bottom w:val="none" w:sz="0" w:space="0" w:color="auto"/>
                <w:right w:val="none" w:sz="0" w:space="0" w:color="auto"/>
              </w:divBdr>
              <w:divsChild>
                <w:div w:id="2139685342">
                  <w:marLeft w:val="0"/>
                  <w:marRight w:val="0"/>
                  <w:marTop w:val="0"/>
                  <w:marBottom w:val="0"/>
                  <w:divBdr>
                    <w:top w:val="none" w:sz="0" w:space="0" w:color="auto"/>
                    <w:left w:val="none" w:sz="0" w:space="0" w:color="auto"/>
                    <w:bottom w:val="none" w:sz="0" w:space="0" w:color="auto"/>
                    <w:right w:val="none" w:sz="0" w:space="0" w:color="auto"/>
                  </w:divBdr>
                  <w:divsChild>
                    <w:div w:id="1112673397">
                      <w:marLeft w:val="0"/>
                      <w:marRight w:val="0"/>
                      <w:marTop w:val="0"/>
                      <w:marBottom w:val="0"/>
                      <w:divBdr>
                        <w:top w:val="none" w:sz="0" w:space="0" w:color="auto"/>
                        <w:left w:val="none" w:sz="0" w:space="0" w:color="auto"/>
                        <w:bottom w:val="none" w:sz="0" w:space="0" w:color="auto"/>
                        <w:right w:val="none" w:sz="0" w:space="0" w:color="auto"/>
                      </w:divBdr>
                      <w:divsChild>
                        <w:div w:id="776868854">
                          <w:marLeft w:val="0"/>
                          <w:marRight w:val="0"/>
                          <w:marTop w:val="0"/>
                          <w:marBottom w:val="0"/>
                          <w:divBdr>
                            <w:top w:val="none" w:sz="0" w:space="0" w:color="auto"/>
                            <w:left w:val="none" w:sz="0" w:space="0" w:color="auto"/>
                            <w:bottom w:val="none" w:sz="0" w:space="0" w:color="auto"/>
                            <w:right w:val="none" w:sz="0" w:space="0" w:color="auto"/>
                          </w:divBdr>
                          <w:divsChild>
                            <w:div w:id="378165482">
                              <w:marLeft w:val="0"/>
                              <w:marRight w:val="0"/>
                              <w:marTop w:val="0"/>
                              <w:marBottom w:val="0"/>
                              <w:divBdr>
                                <w:top w:val="none" w:sz="0" w:space="0" w:color="auto"/>
                                <w:left w:val="none" w:sz="0" w:space="0" w:color="auto"/>
                                <w:bottom w:val="none" w:sz="0" w:space="0" w:color="auto"/>
                                <w:right w:val="none" w:sz="0" w:space="0" w:color="auto"/>
                              </w:divBdr>
                              <w:divsChild>
                                <w:div w:id="1132946493">
                                  <w:marLeft w:val="0"/>
                                  <w:marRight w:val="0"/>
                                  <w:marTop w:val="0"/>
                                  <w:marBottom w:val="0"/>
                                  <w:divBdr>
                                    <w:top w:val="none" w:sz="0" w:space="0" w:color="auto"/>
                                    <w:left w:val="none" w:sz="0" w:space="0" w:color="auto"/>
                                    <w:bottom w:val="none" w:sz="0" w:space="0" w:color="auto"/>
                                    <w:right w:val="none" w:sz="0" w:space="0" w:color="auto"/>
                                  </w:divBdr>
                                  <w:divsChild>
                                    <w:div w:id="1692678914">
                                      <w:marLeft w:val="0"/>
                                      <w:marRight w:val="0"/>
                                      <w:marTop w:val="0"/>
                                      <w:marBottom w:val="0"/>
                                      <w:divBdr>
                                        <w:top w:val="none" w:sz="0" w:space="0" w:color="auto"/>
                                        <w:left w:val="none" w:sz="0" w:space="0" w:color="auto"/>
                                        <w:bottom w:val="none" w:sz="0" w:space="0" w:color="auto"/>
                                        <w:right w:val="none" w:sz="0" w:space="0" w:color="auto"/>
                                      </w:divBdr>
                                      <w:divsChild>
                                        <w:div w:id="1522159781">
                                          <w:marLeft w:val="0"/>
                                          <w:marRight w:val="0"/>
                                          <w:marTop w:val="0"/>
                                          <w:marBottom w:val="0"/>
                                          <w:divBdr>
                                            <w:top w:val="none" w:sz="0" w:space="0" w:color="auto"/>
                                            <w:left w:val="none" w:sz="0" w:space="0" w:color="auto"/>
                                            <w:bottom w:val="none" w:sz="0" w:space="0" w:color="auto"/>
                                            <w:right w:val="none" w:sz="0" w:space="0" w:color="auto"/>
                                          </w:divBdr>
                                          <w:divsChild>
                                            <w:div w:id="82722035">
                                              <w:marLeft w:val="0"/>
                                              <w:marRight w:val="0"/>
                                              <w:marTop w:val="0"/>
                                              <w:marBottom w:val="0"/>
                                              <w:divBdr>
                                                <w:top w:val="none" w:sz="0" w:space="0" w:color="auto"/>
                                                <w:left w:val="none" w:sz="0" w:space="0" w:color="auto"/>
                                                <w:bottom w:val="none" w:sz="0" w:space="0" w:color="auto"/>
                                                <w:right w:val="none" w:sz="0" w:space="0" w:color="auto"/>
                                              </w:divBdr>
                                              <w:divsChild>
                                                <w:div w:id="336616041">
                                                  <w:marLeft w:val="0"/>
                                                  <w:marRight w:val="0"/>
                                                  <w:marTop w:val="0"/>
                                                  <w:marBottom w:val="0"/>
                                                  <w:divBdr>
                                                    <w:top w:val="none" w:sz="0" w:space="0" w:color="auto"/>
                                                    <w:left w:val="none" w:sz="0" w:space="0" w:color="auto"/>
                                                    <w:bottom w:val="none" w:sz="0" w:space="0" w:color="auto"/>
                                                    <w:right w:val="none" w:sz="0" w:space="0" w:color="auto"/>
                                                  </w:divBdr>
                                                  <w:divsChild>
                                                    <w:div w:id="1490099709">
                                                      <w:marLeft w:val="0"/>
                                                      <w:marRight w:val="0"/>
                                                      <w:marTop w:val="0"/>
                                                      <w:marBottom w:val="0"/>
                                                      <w:divBdr>
                                                        <w:top w:val="none" w:sz="0" w:space="0" w:color="auto"/>
                                                        <w:left w:val="none" w:sz="0" w:space="0" w:color="auto"/>
                                                        <w:bottom w:val="none" w:sz="0" w:space="0" w:color="auto"/>
                                                        <w:right w:val="none" w:sz="0" w:space="0" w:color="auto"/>
                                                      </w:divBdr>
                                                      <w:divsChild>
                                                        <w:div w:id="18459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1413077">
      <w:bodyDiv w:val="1"/>
      <w:marLeft w:val="0"/>
      <w:marRight w:val="0"/>
      <w:marTop w:val="0"/>
      <w:marBottom w:val="0"/>
      <w:divBdr>
        <w:top w:val="none" w:sz="0" w:space="0" w:color="auto"/>
        <w:left w:val="none" w:sz="0" w:space="0" w:color="auto"/>
        <w:bottom w:val="none" w:sz="0" w:space="0" w:color="auto"/>
        <w:right w:val="none" w:sz="0" w:space="0" w:color="auto"/>
      </w:divBdr>
      <w:divsChild>
        <w:div w:id="1948387921">
          <w:marLeft w:val="0"/>
          <w:marRight w:val="0"/>
          <w:marTop w:val="0"/>
          <w:marBottom w:val="0"/>
          <w:divBdr>
            <w:top w:val="none" w:sz="0" w:space="0" w:color="auto"/>
            <w:left w:val="none" w:sz="0" w:space="0" w:color="auto"/>
            <w:bottom w:val="none" w:sz="0" w:space="0" w:color="auto"/>
            <w:right w:val="none" w:sz="0" w:space="0" w:color="auto"/>
          </w:divBdr>
          <w:divsChild>
            <w:div w:id="254245953">
              <w:marLeft w:val="0"/>
              <w:marRight w:val="0"/>
              <w:marTop w:val="0"/>
              <w:marBottom w:val="0"/>
              <w:divBdr>
                <w:top w:val="none" w:sz="0" w:space="0" w:color="auto"/>
                <w:left w:val="none" w:sz="0" w:space="0" w:color="auto"/>
                <w:bottom w:val="none" w:sz="0" w:space="0" w:color="auto"/>
                <w:right w:val="none" w:sz="0" w:space="0" w:color="auto"/>
              </w:divBdr>
              <w:divsChild>
                <w:div w:id="1041906132">
                  <w:marLeft w:val="0"/>
                  <w:marRight w:val="0"/>
                  <w:marTop w:val="0"/>
                  <w:marBottom w:val="0"/>
                  <w:divBdr>
                    <w:top w:val="none" w:sz="0" w:space="0" w:color="auto"/>
                    <w:left w:val="none" w:sz="0" w:space="0" w:color="auto"/>
                    <w:bottom w:val="none" w:sz="0" w:space="0" w:color="auto"/>
                    <w:right w:val="none" w:sz="0" w:space="0" w:color="auto"/>
                  </w:divBdr>
                  <w:divsChild>
                    <w:div w:id="1620145152">
                      <w:marLeft w:val="0"/>
                      <w:marRight w:val="0"/>
                      <w:marTop w:val="0"/>
                      <w:marBottom w:val="0"/>
                      <w:divBdr>
                        <w:top w:val="none" w:sz="0" w:space="0" w:color="auto"/>
                        <w:left w:val="none" w:sz="0" w:space="0" w:color="auto"/>
                        <w:bottom w:val="none" w:sz="0" w:space="0" w:color="auto"/>
                        <w:right w:val="none" w:sz="0" w:space="0" w:color="auto"/>
                      </w:divBdr>
                      <w:divsChild>
                        <w:div w:id="1198660335">
                          <w:marLeft w:val="0"/>
                          <w:marRight w:val="0"/>
                          <w:marTop w:val="0"/>
                          <w:marBottom w:val="0"/>
                          <w:divBdr>
                            <w:top w:val="none" w:sz="0" w:space="0" w:color="auto"/>
                            <w:left w:val="none" w:sz="0" w:space="0" w:color="auto"/>
                            <w:bottom w:val="none" w:sz="0" w:space="0" w:color="auto"/>
                            <w:right w:val="none" w:sz="0" w:space="0" w:color="auto"/>
                          </w:divBdr>
                          <w:divsChild>
                            <w:div w:id="411120569">
                              <w:marLeft w:val="0"/>
                              <w:marRight w:val="0"/>
                              <w:marTop w:val="0"/>
                              <w:marBottom w:val="0"/>
                              <w:divBdr>
                                <w:top w:val="none" w:sz="0" w:space="0" w:color="auto"/>
                                <w:left w:val="none" w:sz="0" w:space="0" w:color="auto"/>
                                <w:bottom w:val="none" w:sz="0" w:space="0" w:color="auto"/>
                                <w:right w:val="none" w:sz="0" w:space="0" w:color="auto"/>
                              </w:divBdr>
                              <w:divsChild>
                                <w:div w:id="1407612143">
                                  <w:marLeft w:val="0"/>
                                  <w:marRight w:val="0"/>
                                  <w:marTop w:val="0"/>
                                  <w:marBottom w:val="0"/>
                                  <w:divBdr>
                                    <w:top w:val="none" w:sz="0" w:space="0" w:color="auto"/>
                                    <w:left w:val="none" w:sz="0" w:space="0" w:color="auto"/>
                                    <w:bottom w:val="none" w:sz="0" w:space="0" w:color="auto"/>
                                    <w:right w:val="none" w:sz="0" w:space="0" w:color="auto"/>
                                  </w:divBdr>
                                  <w:divsChild>
                                    <w:div w:id="821191699">
                                      <w:marLeft w:val="0"/>
                                      <w:marRight w:val="0"/>
                                      <w:marTop w:val="0"/>
                                      <w:marBottom w:val="0"/>
                                      <w:divBdr>
                                        <w:top w:val="none" w:sz="0" w:space="0" w:color="auto"/>
                                        <w:left w:val="none" w:sz="0" w:space="0" w:color="auto"/>
                                        <w:bottom w:val="none" w:sz="0" w:space="0" w:color="auto"/>
                                        <w:right w:val="none" w:sz="0" w:space="0" w:color="auto"/>
                                      </w:divBdr>
                                      <w:divsChild>
                                        <w:div w:id="1506289621">
                                          <w:marLeft w:val="0"/>
                                          <w:marRight w:val="0"/>
                                          <w:marTop w:val="0"/>
                                          <w:marBottom w:val="0"/>
                                          <w:divBdr>
                                            <w:top w:val="none" w:sz="0" w:space="0" w:color="auto"/>
                                            <w:left w:val="none" w:sz="0" w:space="0" w:color="auto"/>
                                            <w:bottom w:val="none" w:sz="0" w:space="0" w:color="auto"/>
                                            <w:right w:val="none" w:sz="0" w:space="0" w:color="auto"/>
                                          </w:divBdr>
                                          <w:divsChild>
                                            <w:div w:id="1637030893">
                                              <w:marLeft w:val="0"/>
                                              <w:marRight w:val="0"/>
                                              <w:marTop w:val="0"/>
                                              <w:marBottom w:val="0"/>
                                              <w:divBdr>
                                                <w:top w:val="none" w:sz="0" w:space="0" w:color="auto"/>
                                                <w:left w:val="none" w:sz="0" w:space="0" w:color="auto"/>
                                                <w:bottom w:val="none" w:sz="0" w:space="0" w:color="auto"/>
                                                <w:right w:val="none" w:sz="0" w:space="0" w:color="auto"/>
                                              </w:divBdr>
                                              <w:divsChild>
                                                <w:div w:id="313461133">
                                                  <w:marLeft w:val="0"/>
                                                  <w:marRight w:val="0"/>
                                                  <w:marTop w:val="0"/>
                                                  <w:marBottom w:val="0"/>
                                                  <w:divBdr>
                                                    <w:top w:val="none" w:sz="0" w:space="0" w:color="auto"/>
                                                    <w:left w:val="none" w:sz="0" w:space="0" w:color="auto"/>
                                                    <w:bottom w:val="none" w:sz="0" w:space="0" w:color="auto"/>
                                                    <w:right w:val="none" w:sz="0" w:space="0" w:color="auto"/>
                                                  </w:divBdr>
                                                  <w:divsChild>
                                                    <w:div w:id="351305587">
                                                      <w:marLeft w:val="0"/>
                                                      <w:marRight w:val="0"/>
                                                      <w:marTop w:val="0"/>
                                                      <w:marBottom w:val="0"/>
                                                      <w:divBdr>
                                                        <w:top w:val="none" w:sz="0" w:space="0" w:color="auto"/>
                                                        <w:left w:val="none" w:sz="0" w:space="0" w:color="auto"/>
                                                        <w:bottom w:val="none" w:sz="0" w:space="0" w:color="auto"/>
                                                        <w:right w:val="none" w:sz="0" w:space="0" w:color="auto"/>
                                                      </w:divBdr>
                                                      <w:divsChild>
                                                        <w:div w:id="5444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760865">
      <w:bodyDiv w:val="1"/>
      <w:marLeft w:val="0"/>
      <w:marRight w:val="0"/>
      <w:marTop w:val="0"/>
      <w:marBottom w:val="0"/>
      <w:divBdr>
        <w:top w:val="none" w:sz="0" w:space="0" w:color="auto"/>
        <w:left w:val="none" w:sz="0" w:space="0" w:color="auto"/>
        <w:bottom w:val="none" w:sz="0" w:space="0" w:color="auto"/>
        <w:right w:val="none" w:sz="0" w:space="0" w:color="auto"/>
      </w:divBdr>
      <w:divsChild>
        <w:div w:id="1447236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106834">
      <w:bodyDiv w:val="1"/>
      <w:marLeft w:val="0"/>
      <w:marRight w:val="0"/>
      <w:marTop w:val="0"/>
      <w:marBottom w:val="0"/>
      <w:divBdr>
        <w:top w:val="none" w:sz="0" w:space="0" w:color="auto"/>
        <w:left w:val="none" w:sz="0" w:space="0" w:color="auto"/>
        <w:bottom w:val="none" w:sz="0" w:space="0" w:color="auto"/>
        <w:right w:val="none" w:sz="0" w:space="0" w:color="auto"/>
      </w:divBdr>
    </w:div>
    <w:div w:id="1516924373">
      <w:bodyDiv w:val="1"/>
      <w:marLeft w:val="0"/>
      <w:marRight w:val="0"/>
      <w:marTop w:val="0"/>
      <w:marBottom w:val="0"/>
      <w:divBdr>
        <w:top w:val="none" w:sz="0" w:space="0" w:color="auto"/>
        <w:left w:val="none" w:sz="0" w:space="0" w:color="auto"/>
        <w:bottom w:val="none" w:sz="0" w:space="0" w:color="auto"/>
        <w:right w:val="none" w:sz="0" w:space="0" w:color="auto"/>
      </w:divBdr>
    </w:div>
    <w:div w:id="1520924520">
      <w:bodyDiv w:val="1"/>
      <w:marLeft w:val="0"/>
      <w:marRight w:val="0"/>
      <w:marTop w:val="0"/>
      <w:marBottom w:val="0"/>
      <w:divBdr>
        <w:top w:val="none" w:sz="0" w:space="0" w:color="auto"/>
        <w:left w:val="none" w:sz="0" w:space="0" w:color="auto"/>
        <w:bottom w:val="none" w:sz="0" w:space="0" w:color="auto"/>
        <w:right w:val="none" w:sz="0" w:space="0" w:color="auto"/>
      </w:divBdr>
    </w:div>
    <w:div w:id="1533760564">
      <w:bodyDiv w:val="1"/>
      <w:marLeft w:val="0"/>
      <w:marRight w:val="0"/>
      <w:marTop w:val="0"/>
      <w:marBottom w:val="0"/>
      <w:divBdr>
        <w:top w:val="none" w:sz="0" w:space="0" w:color="auto"/>
        <w:left w:val="none" w:sz="0" w:space="0" w:color="auto"/>
        <w:bottom w:val="none" w:sz="0" w:space="0" w:color="auto"/>
        <w:right w:val="none" w:sz="0" w:space="0" w:color="auto"/>
      </w:divBdr>
    </w:div>
    <w:div w:id="1585726338">
      <w:bodyDiv w:val="1"/>
      <w:marLeft w:val="0"/>
      <w:marRight w:val="0"/>
      <w:marTop w:val="0"/>
      <w:marBottom w:val="0"/>
      <w:divBdr>
        <w:top w:val="none" w:sz="0" w:space="0" w:color="auto"/>
        <w:left w:val="none" w:sz="0" w:space="0" w:color="auto"/>
        <w:bottom w:val="none" w:sz="0" w:space="0" w:color="auto"/>
        <w:right w:val="none" w:sz="0" w:space="0" w:color="auto"/>
      </w:divBdr>
    </w:div>
    <w:div w:id="1630358105">
      <w:bodyDiv w:val="1"/>
      <w:marLeft w:val="0"/>
      <w:marRight w:val="0"/>
      <w:marTop w:val="0"/>
      <w:marBottom w:val="0"/>
      <w:divBdr>
        <w:top w:val="none" w:sz="0" w:space="0" w:color="auto"/>
        <w:left w:val="none" w:sz="0" w:space="0" w:color="auto"/>
        <w:bottom w:val="none" w:sz="0" w:space="0" w:color="auto"/>
        <w:right w:val="none" w:sz="0" w:space="0" w:color="auto"/>
      </w:divBdr>
    </w:div>
    <w:div w:id="1633443033">
      <w:bodyDiv w:val="1"/>
      <w:marLeft w:val="0"/>
      <w:marRight w:val="0"/>
      <w:marTop w:val="0"/>
      <w:marBottom w:val="0"/>
      <w:divBdr>
        <w:top w:val="none" w:sz="0" w:space="0" w:color="auto"/>
        <w:left w:val="none" w:sz="0" w:space="0" w:color="auto"/>
        <w:bottom w:val="none" w:sz="0" w:space="0" w:color="auto"/>
        <w:right w:val="none" w:sz="0" w:space="0" w:color="auto"/>
      </w:divBdr>
    </w:div>
    <w:div w:id="1662810556">
      <w:bodyDiv w:val="1"/>
      <w:marLeft w:val="0"/>
      <w:marRight w:val="0"/>
      <w:marTop w:val="0"/>
      <w:marBottom w:val="0"/>
      <w:divBdr>
        <w:top w:val="none" w:sz="0" w:space="0" w:color="auto"/>
        <w:left w:val="none" w:sz="0" w:space="0" w:color="auto"/>
        <w:bottom w:val="none" w:sz="0" w:space="0" w:color="auto"/>
        <w:right w:val="none" w:sz="0" w:space="0" w:color="auto"/>
      </w:divBdr>
    </w:div>
    <w:div w:id="1740326898">
      <w:bodyDiv w:val="1"/>
      <w:marLeft w:val="0"/>
      <w:marRight w:val="0"/>
      <w:marTop w:val="0"/>
      <w:marBottom w:val="0"/>
      <w:divBdr>
        <w:top w:val="none" w:sz="0" w:space="0" w:color="auto"/>
        <w:left w:val="none" w:sz="0" w:space="0" w:color="auto"/>
        <w:bottom w:val="none" w:sz="0" w:space="0" w:color="auto"/>
        <w:right w:val="none" w:sz="0" w:space="0" w:color="auto"/>
      </w:divBdr>
    </w:div>
    <w:div w:id="1763258142">
      <w:bodyDiv w:val="1"/>
      <w:marLeft w:val="0"/>
      <w:marRight w:val="0"/>
      <w:marTop w:val="0"/>
      <w:marBottom w:val="0"/>
      <w:divBdr>
        <w:top w:val="none" w:sz="0" w:space="0" w:color="auto"/>
        <w:left w:val="none" w:sz="0" w:space="0" w:color="auto"/>
        <w:bottom w:val="none" w:sz="0" w:space="0" w:color="auto"/>
        <w:right w:val="none" w:sz="0" w:space="0" w:color="auto"/>
      </w:divBdr>
    </w:div>
    <w:div w:id="1788892495">
      <w:bodyDiv w:val="1"/>
      <w:marLeft w:val="0"/>
      <w:marRight w:val="0"/>
      <w:marTop w:val="0"/>
      <w:marBottom w:val="0"/>
      <w:divBdr>
        <w:top w:val="none" w:sz="0" w:space="0" w:color="auto"/>
        <w:left w:val="none" w:sz="0" w:space="0" w:color="auto"/>
        <w:bottom w:val="none" w:sz="0" w:space="0" w:color="auto"/>
        <w:right w:val="none" w:sz="0" w:space="0" w:color="auto"/>
      </w:divBdr>
    </w:div>
    <w:div w:id="1867909334">
      <w:bodyDiv w:val="1"/>
      <w:marLeft w:val="0"/>
      <w:marRight w:val="0"/>
      <w:marTop w:val="0"/>
      <w:marBottom w:val="0"/>
      <w:divBdr>
        <w:top w:val="none" w:sz="0" w:space="0" w:color="auto"/>
        <w:left w:val="none" w:sz="0" w:space="0" w:color="auto"/>
        <w:bottom w:val="none" w:sz="0" w:space="0" w:color="auto"/>
        <w:right w:val="none" w:sz="0" w:space="0" w:color="auto"/>
      </w:divBdr>
    </w:div>
    <w:div w:id="1892962494">
      <w:bodyDiv w:val="1"/>
      <w:marLeft w:val="0"/>
      <w:marRight w:val="0"/>
      <w:marTop w:val="0"/>
      <w:marBottom w:val="0"/>
      <w:divBdr>
        <w:top w:val="none" w:sz="0" w:space="0" w:color="auto"/>
        <w:left w:val="none" w:sz="0" w:space="0" w:color="auto"/>
        <w:bottom w:val="none" w:sz="0" w:space="0" w:color="auto"/>
        <w:right w:val="none" w:sz="0" w:space="0" w:color="auto"/>
      </w:divBdr>
    </w:div>
    <w:div w:id="1915503691">
      <w:bodyDiv w:val="1"/>
      <w:marLeft w:val="0"/>
      <w:marRight w:val="0"/>
      <w:marTop w:val="0"/>
      <w:marBottom w:val="0"/>
      <w:divBdr>
        <w:top w:val="none" w:sz="0" w:space="0" w:color="auto"/>
        <w:left w:val="none" w:sz="0" w:space="0" w:color="auto"/>
        <w:bottom w:val="none" w:sz="0" w:space="0" w:color="auto"/>
        <w:right w:val="none" w:sz="0" w:space="0" w:color="auto"/>
      </w:divBdr>
      <w:divsChild>
        <w:div w:id="899052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021192">
      <w:bodyDiv w:val="1"/>
      <w:marLeft w:val="0"/>
      <w:marRight w:val="0"/>
      <w:marTop w:val="0"/>
      <w:marBottom w:val="0"/>
      <w:divBdr>
        <w:top w:val="none" w:sz="0" w:space="0" w:color="auto"/>
        <w:left w:val="none" w:sz="0" w:space="0" w:color="auto"/>
        <w:bottom w:val="none" w:sz="0" w:space="0" w:color="auto"/>
        <w:right w:val="none" w:sz="0" w:space="0" w:color="auto"/>
      </w:divBdr>
    </w:div>
    <w:div w:id="1978676981">
      <w:bodyDiv w:val="1"/>
      <w:marLeft w:val="0"/>
      <w:marRight w:val="0"/>
      <w:marTop w:val="0"/>
      <w:marBottom w:val="0"/>
      <w:divBdr>
        <w:top w:val="none" w:sz="0" w:space="0" w:color="auto"/>
        <w:left w:val="none" w:sz="0" w:space="0" w:color="auto"/>
        <w:bottom w:val="none" w:sz="0" w:space="0" w:color="auto"/>
        <w:right w:val="none" w:sz="0" w:space="0" w:color="auto"/>
      </w:divBdr>
    </w:div>
    <w:div w:id="2023629518">
      <w:bodyDiv w:val="1"/>
      <w:marLeft w:val="0"/>
      <w:marRight w:val="0"/>
      <w:marTop w:val="0"/>
      <w:marBottom w:val="0"/>
      <w:divBdr>
        <w:top w:val="none" w:sz="0" w:space="0" w:color="auto"/>
        <w:left w:val="none" w:sz="0" w:space="0" w:color="auto"/>
        <w:bottom w:val="none" w:sz="0" w:space="0" w:color="auto"/>
        <w:right w:val="none" w:sz="0" w:space="0" w:color="auto"/>
      </w:divBdr>
    </w:div>
    <w:div w:id="2059088147">
      <w:bodyDiv w:val="1"/>
      <w:marLeft w:val="0"/>
      <w:marRight w:val="0"/>
      <w:marTop w:val="0"/>
      <w:marBottom w:val="0"/>
      <w:divBdr>
        <w:top w:val="none" w:sz="0" w:space="0" w:color="auto"/>
        <w:left w:val="none" w:sz="0" w:space="0" w:color="auto"/>
        <w:bottom w:val="none" w:sz="0" w:space="0" w:color="auto"/>
        <w:right w:val="none" w:sz="0" w:space="0" w:color="auto"/>
      </w:divBdr>
    </w:div>
    <w:div w:id="2086368748">
      <w:bodyDiv w:val="1"/>
      <w:marLeft w:val="0"/>
      <w:marRight w:val="0"/>
      <w:marTop w:val="0"/>
      <w:marBottom w:val="0"/>
      <w:divBdr>
        <w:top w:val="none" w:sz="0" w:space="0" w:color="auto"/>
        <w:left w:val="none" w:sz="0" w:space="0" w:color="auto"/>
        <w:bottom w:val="none" w:sz="0" w:space="0" w:color="auto"/>
        <w:right w:val="none" w:sz="0" w:space="0" w:color="auto"/>
      </w:divBdr>
    </w:div>
    <w:div w:id="2088261335">
      <w:bodyDiv w:val="1"/>
      <w:marLeft w:val="0"/>
      <w:marRight w:val="0"/>
      <w:marTop w:val="0"/>
      <w:marBottom w:val="0"/>
      <w:divBdr>
        <w:top w:val="none" w:sz="0" w:space="0" w:color="auto"/>
        <w:left w:val="none" w:sz="0" w:space="0" w:color="auto"/>
        <w:bottom w:val="none" w:sz="0" w:space="0" w:color="auto"/>
        <w:right w:val="none" w:sz="0" w:space="0" w:color="auto"/>
      </w:divBdr>
    </w:div>
    <w:div w:id="2090081944">
      <w:bodyDiv w:val="1"/>
      <w:marLeft w:val="0"/>
      <w:marRight w:val="0"/>
      <w:marTop w:val="0"/>
      <w:marBottom w:val="0"/>
      <w:divBdr>
        <w:top w:val="none" w:sz="0" w:space="0" w:color="auto"/>
        <w:left w:val="none" w:sz="0" w:space="0" w:color="auto"/>
        <w:bottom w:val="none" w:sz="0" w:space="0" w:color="auto"/>
        <w:right w:val="none" w:sz="0" w:space="0" w:color="auto"/>
      </w:divBdr>
    </w:div>
    <w:div w:id="2127694509">
      <w:bodyDiv w:val="1"/>
      <w:marLeft w:val="0"/>
      <w:marRight w:val="0"/>
      <w:marTop w:val="0"/>
      <w:marBottom w:val="0"/>
      <w:divBdr>
        <w:top w:val="none" w:sz="0" w:space="0" w:color="auto"/>
        <w:left w:val="none" w:sz="0" w:space="0" w:color="auto"/>
        <w:bottom w:val="none" w:sz="0" w:space="0" w:color="auto"/>
        <w:right w:val="none" w:sz="0" w:space="0" w:color="auto"/>
      </w:divBdr>
    </w:div>
    <w:div w:id="2128692890">
      <w:bodyDiv w:val="1"/>
      <w:marLeft w:val="0"/>
      <w:marRight w:val="0"/>
      <w:marTop w:val="0"/>
      <w:marBottom w:val="0"/>
      <w:divBdr>
        <w:top w:val="none" w:sz="0" w:space="0" w:color="auto"/>
        <w:left w:val="none" w:sz="0" w:space="0" w:color="auto"/>
        <w:bottom w:val="none" w:sz="0" w:space="0" w:color="auto"/>
        <w:right w:val="none" w:sz="0" w:space="0" w:color="auto"/>
      </w:divBdr>
    </w:div>
    <w:div w:id="2132820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16699</TotalTime>
  <Pages>12</Pages>
  <Words>10417</Words>
  <Characters>59380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Abdirizak Hassan Osman</cp:lastModifiedBy>
  <cp:revision>223</cp:revision>
  <dcterms:created xsi:type="dcterms:W3CDTF">2013-12-23T23:15:00Z</dcterms:created>
  <dcterms:modified xsi:type="dcterms:W3CDTF">2026-06-09T23:14:00Z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id="cFz2pcEr"/&gt;&lt;style id="http://www.zotero.org/styles/ieee" locale="en-GB" hasBibliography="1" bibliographyStyleHasBeenSet="1"/&gt;&lt;prefs&gt;&lt;pref name="fieldType" value="Field"/&gt;&lt;/prefs&gt;&lt;/data&gt;</vt:lpwstr>
  </property>
</Properties>
</file>