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1F1C" w14:textId="77777777" w:rsidR="004A1C75" w:rsidRDefault="004A1C75" w:rsidP="004A1C75">
      <w:pPr>
        <w:pStyle w:val="1"/>
        <w:tabs>
          <w:tab w:val="left" w:pos="1047"/>
        </w:tabs>
      </w:pPr>
      <w:r>
        <w:t>Индивидуальное домашнее</w:t>
      </w:r>
      <w:r>
        <w:rPr>
          <w:spacing w:val="4"/>
        </w:rPr>
        <w:t xml:space="preserve"> </w:t>
      </w:r>
      <w:r>
        <w:t>задание</w:t>
      </w:r>
    </w:p>
    <w:p w14:paraId="52265C7F" w14:textId="77777777" w:rsidR="004A1C75" w:rsidRPr="004A1C75" w:rsidRDefault="004A1C75" w:rsidP="004A1C75">
      <w:pPr>
        <w:pStyle w:val="a3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14:paraId="24B7608F" w14:textId="77777777" w:rsidR="004A1C75" w:rsidRPr="0070398E" w:rsidRDefault="004A1C75" w:rsidP="004A1C75">
      <w:pPr>
        <w:pStyle w:val="a3"/>
        <w:spacing w:line="376" w:lineRule="auto"/>
        <w:ind w:left="400"/>
        <w:rPr>
          <w:rFonts w:ascii="Times New Roman" w:eastAsia="Times New Roman" w:hAnsi="Times New Roman"/>
          <w:sz w:val="24"/>
          <w:szCs w:val="24"/>
          <w:lang w:val="ru-RU"/>
        </w:rPr>
      </w:pP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Индивидуальное домашнее задание включает в себя сбор необходимой информации, проведение расчетов и оформление письменной работы по индивидуальной теме. </w:t>
      </w:r>
    </w:p>
    <w:p w14:paraId="2A00216C" w14:textId="77777777" w:rsidR="004A1C75" w:rsidRPr="0070398E" w:rsidRDefault="004A1C75" w:rsidP="004A1C75">
      <w:pPr>
        <w:pStyle w:val="a3"/>
        <w:spacing w:line="376" w:lineRule="auto"/>
        <w:ind w:left="40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Примерные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темы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ИДЗ:</w:t>
      </w:r>
    </w:p>
    <w:p w14:paraId="620EED0C" w14:textId="77777777" w:rsidR="004A1C75" w:rsidRPr="0070398E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Оценка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конкурентоспособности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продукции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предприятия</w:t>
      </w:r>
      <w:proofErr w:type="spellEnd"/>
    </w:p>
    <w:p w14:paraId="71A8C3C4" w14:textId="77777777" w:rsidR="004A1C75" w:rsidRPr="0070398E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Формирование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цены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на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продукцию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предприятия</w:t>
      </w:r>
      <w:proofErr w:type="spellEnd"/>
    </w:p>
    <w:p w14:paraId="726B314F" w14:textId="77777777" w:rsidR="004A1C75" w:rsidRPr="0070398E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/>
          <w:sz w:val="24"/>
          <w:szCs w:val="24"/>
          <w:lang w:val="ru-RU"/>
        </w:rPr>
      </w:pPr>
      <w:r w:rsidRPr="0070398E">
        <w:rPr>
          <w:rFonts w:ascii="Times New Roman" w:eastAsia="Times New Roman" w:hAnsi="Times New Roman"/>
          <w:sz w:val="24"/>
          <w:szCs w:val="24"/>
          <w:lang w:val="ru-RU"/>
        </w:rPr>
        <w:t>Анализ эффективности деятельности компании по данным финансовой отчетности</w:t>
      </w:r>
    </w:p>
    <w:p w14:paraId="154F8E53" w14:textId="77777777" w:rsidR="004A1C75" w:rsidRPr="0070398E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/>
          <w:sz w:val="24"/>
          <w:szCs w:val="24"/>
          <w:lang w:val="ru-RU"/>
        </w:rPr>
      </w:pPr>
      <w:r w:rsidRPr="0070398E">
        <w:rPr>
          <w:rFonts w:ascii="Times New Roman" w:eastAsia="Times New Roman" w:hAnsi="Times New Roman"/>
          <w:sz w:val="24"/>
          <w:szCs w:val="24"/>
          <w:lang w:val="ru-RU"/>
        </w:rPr>
        <w:t>Выбор налогового режима для коммерческого предприятия</w:t>
      </w:r>
    </w:p>
    <w:p w14:paraId="2813CBEA" w14:textId="77777777" w:rsidR="004A1C75" w:rsidRPr="0070398E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Расчет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затрат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на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НИОКР</w:t>
      </w:r>
    </w:p>
    <w:p w14:paraId="1A82879B" w14:textId="77777777" w:rsidR="004A1C75" w:rsidRPr="0070398E" w:rsidRDefault="004A1C75" w:rsidP="004A1C75">
      <w:pPr>
        <w:pStyle w:val="a5"/>
        <w:numPr>
          <w:ilvl w:val="0"/>
          <w:numId w:val="1"/>
        </w:numPr>
        <w:tabs>
          <w:tab w:val="left" w:pos="688"/>
        </w:tabs>
        <w:spacing w:before="119"/>
        <w:rPr>
          <w:rFonts w:ascii="Times New Roman" w:eastAsia="Times New Roman" w:hAnsi="Times New Roman" w:cs="Arial"/>
          <w:sz w:val="24"/>
          <w:szCs w:val="24"/>
          <w:lang w:val="ru-RU" w:eastAsia="en-US"/>
        </w:rPr>
      </w:pPr>
      <w:r w:rsidRPr="0070398E">
        <w:rPr>
          <w:rFonts w:ascii="Times New Roman" w:eastAsia="Times New Roman" w:hAnsi="Times New Roman" w:cs="Arial"/>
          <w:sz w:val="24"/>
          <w:szCs w:val="24"/>
          <w:lang w:val="ru-RU" w:eastAsia="en-US"/>
        </w:rPr>
        <w:t>Бизнес-план на оснащение компьютерным и сетевым оборудованием</w:t>
      </w:r>
    </w:p>
    <w:p w14:paraId="1C99169C" w14:textId="77777777" w:rsidR="004A1C75" w:rsidRPr="0070398E" w:rsidRDefault="004A1C75" w:rsidP="004A1C75">
      <w:pPr>
        <w:rPr>
          <w:rFonts w:ascii="Times New Roman" w:eastAsia="Times New Roman" w:hAnsi="Times New Roman"/>
          <w:sz w:val="24"/>
          <w:szCs w:val="24"/>
          <w:lang w:val="ru-RU"/>
        </w:rPr>
      </w:pPr>
    </w:p>
    <w:p w14:paraId="38051538" w14:textId="77777777" w:rsidR="004A1C75" w:rsidRPr="0070398E" w:rsidRDefault="004A1C75" w:rsidP="004A1C75">
      <w:pPr>
        <w:pStyle w:val="a3"/>
        <w:spacing w:line="376" w:lineRule="auto"/>
        <w:ind w:left="400" w:right="223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70398E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Текст 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письменной работы сдается в электронном виде на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  <w:lang w:val="ru-RU"/>
        </w:rPr>
        <w:t>внутриуниверситет</w:t>
      </w:r>
      <w:proofErr w:type="spellEnd"/>
      <w:r w:rsidRPr="0070398E">
        <w:rPr>
          <w:rFonts w:ascii="Times New Roman" w:eastAsia="Times New Roman" w:hAnsi="Times New Roman"/>
          <w:sz w:val="24"/>
          <w:szCs w:val="24"/>
          <w:lang w:val="ru-RU"/>
        </w:rPr>
        <w:softHyphen/>
        <w:t xml:space="preserve"> </w:t>
      </w:r>
      <w:proofErr w:type="spellStart"/>
      <w:r w:rsidRPr="0070398E">
        <w:rPr>
          <w:rFonts w:ascii="Times New Roman" w:eastAsia="Times New Roman" w:hAnsi="Times New Roman"/>
          <w:spacing w:val="-4"/>
          <w:sz w:val="24"/>
          <w:szCs w:val="24"/>
          <w:lang w:val="ru-RU"/>
        </w:rPr>
        <w:t>ской</w:t>
      </w:r>
      <w:proofErr w:type="spellEnd"/>
      <w:r w:rsidRPr="0070398E">
        <w:rPr>
          <w:rFonts w:ascii="Times New Roman" w:eastAsia="Times New Roman" w:hAnsi="Times New Roman"/>
          <w:spacing w:val="-4"/>
          <w:sz w:val="24"/>
          <w:szCs w:val="24"/>
          <w:lang w:val="ru-RU"/>
        </w:rPr>
        <w:t xml:space="preserve"> 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платформе </w:t>
      </w:r>
      <w:r w:rsidRPr="0070398E">
        <w:rPr>
          <w:rFonts w:ascii="Times New Roman" w:eastAsia="Times New Roman" w:hAnsi="Times New Roman"/>
          <w:sz w:val="24"/>
          <w:szCs w:val="24"/>
        </w:rPr>
        <w:t>Moodle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 в </w:t>
      </w:r>
      <w:r w:rsidRPr="0070398E">
        <w:rPr>
          <w:rFonts w:ascii="Times New Roman" w:eastAsia="Times New Roman" w:hAnsi="Times New Roman"/>
          <w:spacing w:val="-3"/>
          <w:sz w:val="24"/>
          <w:szCs w:val="24"/>
          <w:lang w:val="ru-RU"/>
        </w:rPr>
        <w:t xml:space="preserve">формате </w:t>
      </w:r>
      <w:r w:rsidRPr="0070398E">
        <w:rPr>
          <w:rFonts w:ascii="Times New Roman" w:eastAsia="Times New Roman" w:hAnsi="Times New Roman"/>
          <w:sz w:val="24"/>
          <w:szCs w:val="24"/>
        </w:rPr>
        <w:t>doc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r w:rsidRPr="0070398E">
        <w:rPr>
          <w:rFonts w:ascii="Times New Roman" w:eastAsia="Times New Roman" w:hAnsi="Times New Roman"/>
          <w:sz w:val="24"/>
          <w:szCs w:val="24"/>
        </w:rPr>
        <w:t>docx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 или </w:t>
      </w:r>
      <w:r w:rsidRPr="0070398E">
        <w:rPr>
          <w:rFonts w:ascii="Times New Roman" w:eastAsia="Times New Roman" w:hAnsi="Times New Roman"/>
          <w:sz w:val="24"/>
          <w:szCs w:val="24"/>
        </w:rPr>
        <w:t>pdf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, а также по </w:t>
      </w:r>
      <w:r w:rsidRPr="0070398E">
        <w:rPr>
          <w:rFonts w:ascii="Times New Roman" w:eastAsia="Times New Roman" w:hAnsi="Times New Roman"/>
          <w:spacing w:val="-3"/>
          <w:sz w:val="24"/>
          <w:szCs w:val="24"/>
          <w:lang w:val="ru-RU"/>
        </w:rPr>
        <w:t xml:space="preserve">необходимости 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в </w:t>
      </w:r>
      <w:r w:rsidRPr="0070398E">
        <w:rPr>
          <w:rFonts w:ascii="Times New Roman" w:eastAsia="Times New Roman" w:hAnsi="Times New Roman"/>
          <w:spacing w:val="-3"/>
          <w:sz w:val="24"/>
          <w:szCs w:val="24"/>
          <w:lang w:val="ru-RU"/>
        </w:rPr>
        <w:t xml:space="preserve">печатном 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>виде преподавателю по практике, в электронном виде на электрон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softHyphen/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  <w:lang w:val="ru-RU"/>
        </w:rPr>
        <w:t>ную</w:t>
      </w:r>
      <w:proofErr w:type="spellEnd"/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70398E">
        <w:rPr>
          <w:rFonts w:ascii="Times New Roman" w:eastAsia="Times New Roman" w:hAnsi="Times New Roman"/>
          <w:spacing w:val="-3"/>
          <w:sz w:val="24"/>
          <w:szCs w:val="24"/>
          <w:lang w:val="ru-RU"/>
        </w:rPr>
        <w:t xml:space="preserve">почту 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преподавателя или через электронную систему личных кабинетов. Оформление письменной работы выполняется в соответствии с требованиями к студенческим работам, принятым в </w:t>
      </w:r>
      <w:proofErr w:type="spellStart"/>
      <w:r w:rsidRPr="0070398E">
        <w:rPr>
          <w:rFonts w:ascii="Times New Roman" w:eastAsia="Times New Roman" w:hAnsi="Times New Roman"/>
          <w:spacing w:val="-6"/>
          <w:sz w:val="24"/>
          <w:szCs w:val="24"/>
          <w:lang w:val="ru-RU"/>
        </w:rPr>
        <w:t>СПбГЭТУ</w:t>
      </w:r>
      <w:proofErr w:type="spellEnd"/>
      <w:r w:rsidRPr="0070398E">
        <w:rPr>
          <w:rFonts w:ascii="Times New Roman" w:eastAsia="Times New Roman" w:hAnsi="Times New Roman"/>
          <w:spacing w:val="-6"/>
          <w:sz w:val="24"/>
          <w:szCs w:val="24"/>
          <w:lang w:val="ru-RU"/>
        </w:rPr>
        <w:t xml:space="preserve">, 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обязательно наличие </w:t>
      </w:r>
      <w:r w:rsidRPr="0070398E">
        <w:rPr>
          <w:rFonts w:ascii="Times New Roman" w:eastAsia="Times New Roman" w:hAnsi="Times New Roman"/>
          <w:spacing w:val="-3"/>
          <w:sz w:val="24"/>
          <w:szCs w:val="24"/>
          <w:lang w:val="ru-RU"/>
        </w:rPr>
        <w:t xml:space="preserve">титульного 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>листа, введения, заключения, списка литературы. Объем работы составляет от 6 до 10</w:t>
      </w:r>
      <w:r w:rsidRPr="0070398E">
        <w:rPr>
          <w:rFonts w:ascii="Times New Roman" w:eastAsia="Times New Roman" w:hAnsi="Times New Roman"/>
          <w:spacing w:val="-44"/>
          <w:sz w:val="24"/>
          <w:szCs w:val="24"/>
          <w:lang w:val="ru-RU"/>
        </w:rPr>
        <w:t xml:space="preserve"> 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>страниц (1 – титульный лист, 2 – введение, 3-5 – текст работы, 6 – заключение, 7 – список литературы).</w:t>
      </w:r>
    </w:p>
    <w:p w14:paraId="360BE82D" w14:textId="77777777" w:rsidR="004A1C75" w:rsidRPr="0070398E" w:rsidRDefault="004A1C75" w:rsidP="004A1C75">
      <w:pPr>
        <w:pStyle w:val="a3"/>
        <w:spacing w:before="115" w:line="376" w:lineRule="auto"/>
        <w:ind w:left="400"/>
        <w:rPr>
          <w:rFonts w:ascii="Times New Roman" w:eastAsia="Times New Roman" w:hAnsi="Times New Roman"/>
          <w:sz w:val="24"/>
          <w:szCs w:val="24"/>
          <w:lang w:val="ru-RU"/>
        </w:rPr>
      </w:pPr>
      <w:r w:rsidRPr="0070398E">
        <w:rPr>
          <w:rFonts w:ascii="Times New Roman" w:eastAsia="Times New Roman" w:hAnsi="Times New Roman"/>
          <w:sz w:val="24"/>
          <w:szCs w:val="24"/>
          <w:lang w:val="ru-RU"/>
        </w:rPr>
        <w:t>Индивидуальное домашнее задание оценивается в 20 баллов. Баллы выставляются по следующим критериям:</w:t>
      </w:r>
    </w:p>
    <w:p w14:paraId="01D6D03B" w14:textId="77777777" w:rsidR="004A1C75" w:rsidRPr="0070398E" w:rsidRDefault="004A1C75" w:rsidP="004A1C75">
      <w:pPr>
        <w:pStyle w:val="a5"/>
        <w:numPr>
          <w:ilvl w:val="1"/>
          <w:numId w:val="1"/>
        </w:numPr>
        <w:tabs>
          <w:tab w:val="left" w:pos="1119"/>
        </w:tabs>
        <w:spacing w:line="376" w:lineRule="auto"/>
        <w:ind w:right="224"/>
        <w:rPr>
          <w:rFonts w:ascii="Times New Roman" w:eastAsia="Times New Roman" w:hAnsi="Times New Roman"/>
          <w:sz w:val="24"/>
          <w:szCs w:val="24"/>
          <w:lang w:val="ru-RU"/>
        </w:rPr>
      </w:pPr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соответствие текста работы требованиям по оформлению, включая наличие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  <w:lang w:val="ru-RU"/>
        </w:rPr>
        <w:t>внутритекстовых</w:t>
      </w:r>
      <w:proofErr w:type="spellEnd"/>
      <w:r w:rsidRPr="0070398E">
        <w:rPr>
          <w:rFonts w:ascii="Times New Roman" w:eastAsia="Times New Roman" w:hAnsi="Times New Roman"/>
          <w:sz w:val="24"/>
          <w:szCs w:val="24"/>
          <w:lang w:val="ru-RU"/>
        </w:rPr>
        <w:t xml:space="preserve"> ссылок на собранные данные – 5</w:t>
      </w:r>
      <w:r w:rsidRPr="0070398E">
        <w:rPr>
          <w:rFonts w:ascii="Times New Roman" w:eastAsia="Times New Roman" w:hAnsi="Times New Roman"/>
          <w:spacing w:val="38"/>
          <w:sz w:val="24"/>
          <w:szCs w:val="24"/>
          <w:lang w:val="ru-RU"/>
        </w:rPr>
        <w:t xml:space="preserve"> 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>баллов,</w:t>
      </w:r>
    </w:p>
    <w:p w14:paraId="28FF1EA8" w14:textId="77777777" w:rsidR="004A1C75" w:rsidRPr="0070398E" w:rsidRDefault="004A1C75" w:rsidP="004A1C75">
      <w:pPr>
        <w:pStyle w:val="a5"/>
        <w:numPr>
          <w:ilvl w:val="1"/>
          <w:numId w:val="1"/>
        </w:numPr>
        <w:tabs>
          <w:tab w:val="left" w:pos="1119"/>
        </w:tabs>
        <w:spacing w:line="376" w:lineRule="auto"/>
        <w:ind w:right="224"/>
        <w:rPr>
          <w:rFonts w:ascii="Times New Roman" w:eastAsia="Times New Roman" w:hAnsi="Times New Roman"/>
          <w:sz w:val="24"/>
          <w:szCs w:val="24"/>
          <w:lang w:val="ru-RU"/>
        </w:rPr>
      </w:pPr>
      <w:r w:rsidRPr="0070398E">
        <w:rPr>
          <w:rFonts w:ascii="Times New Roman" w:eastAsia="Times New Roman" w:hAnsi="Times New Roman"/>
          <w:sz w:val="24"/>
          <w:szCs w:val="24"/>
          <w:lang w:val="ru-RU"/>
        </w:rPr>
        <w:t>полнота и правильность расчетов – 10</w:t>
      </w:r>
      <w:r w:rsidRPr="0070398E">
        <w:rPr>
          <w:rFonts w:ascii="Times New Roman" w:eastAsia="Times New Roman" w:hAnsi="Times New Roman"/>
          <w:spacing w:val="7"/>
          <w:sz w:val="24"/>
          <w:szCs w:val="24"/>
          <w:lang w:val="ru-RU"/>
        </w:rPr>
        <w:t xml:space="preserve"> </w:t>
      </w:r>
      <w:r w:rsidRPr="0070398E">
        <w:rPr>
          <w:rFonts w:ascii="Times New Roman" w:eastAsia="Times New Roman" w:hAnsi="Times New Roman"/>
          <w:sz w:val="24"/>
          <w:szCs w:val="24"/>
          <w:lang w:val="ru-RU"/>
        </w:rPr>
        <w:t>баллов;</w:t>
      </w:r>
    </w:p>
    <w:p w14:paraId="5E47E7DA" w14:textId="7E87A0B3" w:rsidR="004A1C75" w:rsidRDefault="004A1C75" w:rsidP="004A1C75">
      <w:pPr>
        <w:pStyle w:val="a5"/>
        <w:numPr>
          <w:ilvl w:val="1"/>
          <w:numId w:val="1"/>
        </w:numPr>
        <w:tabs>
          <w:tab w:val="left" w:pos="1119"/>
        </w:tabs>
        <w:spacing w:line="321" w:lineRule="exac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обоснованность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выводов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 xml:space="preserve"> – 5</w:t>
      </w:r>
      <w:r w:rsidRPr="0070398E">
        <w:rPr>
          <w:rFonts w:ascii="Times New Roman" w:eastAsia="Times New Roman" w:hAnsi="Times New Roman"/>
          <w:spacing w:val="7"/>
          <w:sz w:val="24"/>
          <w:szCs w:val="24"/>
        </w:rPr>
        <w:t xml:space="preserve"> </w:t>
      </w:r>
      <w:proofErr w:type="spellStart"/>
      <w:r w:rsidRPr="0070398E">
        <w:rPr>
          <w:rFonts w:ascii="Times New Roman" w:eastAsia="Times New Roman" w:hAnsi="Times New Roman"/>
          <w:sz w:val="24"/>
          <w:szCs w:val="24"/>
        </w:rPr>
        <w:t>баллов</w:t>
      </w:r>
      <w:proofErr w:type="spellEnd"/>
      <w:r w:rsidRPr="0070398E">
        <w:rPr>
          <w:rFonts w:ascii="Times New Roman" w:eastAsia="Times New Roman" w:hAnsi="Times New Roman"/>
          <w:sz w:val="24"/>
          <w:szCs w:val="24"/>
        </w:rPr>
        <w:t>.</w:t>
      </w:r>
    </w:p>
    <w:p w14:paraId="342CE059" w14:textId="38A790C5" w:rsidR="0070398E" w:rsidRDefault="0070398E" w:rsidP="0070398E">
      <w:pPr>
        <w:pStyle w:val="a5"/>
        <w:tabs>
          <w:tab w:val="left" w:pos="1119"/>
        </w:tabs>
        <w:spacing w:line="321" w:lineRule="exact"/>
        <w:ind w:left="1118"/>
        <w:rPr>
          <w:rFonts w:ascii="Times New Roman" w:eastAsia="Times New Roman" w:hAnsi="Times New Roman"/>
          <w:sz w:val="24"/>
          <w:szCs w:val="24"/>
        </w:rPr>
      </w:pPr>
    </w:p>
    <w:p w14:paraId="0F69B8A0" w14:textId="65DC8A8B" w:rsidR="0070398E" w:rsidRDefault="0070398E" w:rsidP="0070398E">
      <w:pPr>
        <w:pStyle w:val="a5"/>
        <w:tabs>
          <w:tab w:val="left" w:pos="1119"/>
        </w:tabs>
        <w:spacing w:line="321" w:lineRule="exact"/>
        <w:ind w:left="1118"/>
        <w:rPr>
          <w:rFonts w:ascii="Times New Roman" w:eastAsia="Times New Roman" w:hAnsi="Times New Roman"/>
          <w:sz w:val="24"/>
          <w:szCs w:val="24"/>
        </w:rPr>
      </w:pPr>
    </w:p>
    <w:p w14:paraId="42D24F6F" w14:textId="77777777" w:rsidR="0070398E" w:rsidRDefault="0070398E" w:rsidP="0070398E">
      <w:pPr>
        <w:pStyle w:val="a3"/>
        <w:spacing w:before="1" w:line="376" w:lineRule="auto"/>
        <w:ind w:left="400" w:right="223"/>
        <w:jc w:val="both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14:paraId="0100574E" w14:textId="77777777" w:rsidR="0070398E" w:rsidRDefault="0070398E" w:rsidP="0070398E">
      <w:pPr>
        <w:pStyle w:val="a3"/>
        <w:spacing w:before="1" w:line="376" w:lineRule="auto"/>
        <w:ind w:left="400" w:right="223"/>
        <w:jc w:val="both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14:paraId="04DD1BDE" w14:textId="77777777" w:rsidR="0070398E" w:rsidRDefault="0070398E" w:rsidP="0070398E">
      <w:pPr>
        <w:pStyle w:val="a3"/>
        <w:spacing w:before="1" w:line="376" w:lineRule="auto"/>
        <w:ind w:left="400" w:right="223"/>
        <w:jc w:val="both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14:paraId="32B707C8" w14:textId="1EF6B3D4" w:rsidR="0070398E" w:rsidRDefault="0070398E" w:rsidP="0070398E">
      <w:pPr>
        <w:pStyle w:val="a3"/>
        <w:spacing w:before="1" w:line="376" w:lineRule="auto"/>
        <w:ind w:left="400" w:right="22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53E8C86" w14:textId="77777777" w:rsidR="00D86855" w:rsidRPr="00D86855" w:rsidRDefault="00D86855" w:rsidP="00D8685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Расчет затрат на НИОКР</w:t>
      </w:r>
    </w:p>
    <w:p w14:paraId="3BA1B551" w14:textId="77777777" w:rsidR="00D86855" w:rsidRPr="00D86855" w:rsidRDefault="00D86855" w:rsidP="00D8685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B5A696" w14:textId="77777777" w:rsidR="00D86855" w:rsidRPr="00D86855" w:rsidRDefault="00D86855" w:rsidP="00D8685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Введение </w:t>
      </w:r>
    </w:p>
    <w:p w14:paraId="64C4B13D" w14:textId="77777777" w:rsidR="00D86855" w:rsidRPr="00D86855" w:rsidRDefault="00D86855" w:rsidP="00D8685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Дать необходимые определения, обосновать актуальность работы</w:t>
      </w:r>
    </w:p>
    <w:p w14:paraId="68D06ED0" w14:textId="77777777" w:rsidR="00D86855" w:rsidRPr="00D86855" w:rsidRDefault="00D86855" w:rsidP="00D8685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3812DB" w14:textId="77777777" w:rsidR="00D86855" w:rsidRPr="0005691A" w:rsidRDefault="00D86855" w:rsidP="00D8685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5691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Расчетная часть</w:t>
      </w:r>
    </w:p>
    <w:p w14:paraId="4538279C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Hlk182087158"/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В таблице проводится расчет затрат на научно-исследовательские и опытно-конструкторские работы (единовременные затраты на разработку новой техники) в том случае, если они предусмотрены проектом по цифровизации. Единовременные затраты на разработку новой техники (себестоимость разработки) включают:</w:t>
      </w:r>
    </w:p>
    <w:p w14:paraId="16547386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расходы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оплату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труда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E0AC14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отчисления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социальные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нужды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36514A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накладные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расходы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D92513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стоимость используемых материалов, комплектующих изделий;</w:t>
      </w:r>
    </w:p>
    <w:p w14:paraId="617035A6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затраты на приобретение спецоборудования, используемое при проведении данной разработки;</w:t>
      </w:r>
    </w:p>
    <w:p w14:paraId="28C702F0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командировочные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расходы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C87EA9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прочие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прямые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расходы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B0128E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затраты по работам, выполняемым сторонними организациями.</w:t>
      </w:r>
    </w:p>
    <w:p w14:paraId="28C4A07D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Рассмотрим данные статьи расходов более подробно. В первую очередь, рассчитываются затраты, связанные с оплатой труда специалистов, реализующих НИОКР. В состав расходов на оплату труда включают основную и дополнительную зарплату научных сотрудников, специалистов, участвующих в данной разработке, а также прочего инженерно-технического персонала, непосредственно участвующего в данной разработке. </w:t>
      </w:r>
    </w:p>
    <w:p w14:paraId="1A4D9927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Отчисления на социальные нужды во внебюджетные фонды рассчитываются по нормативу от общей величины затрат на оплату труда и включают в себя отчисления в пенсионный фонд, в обязательный фонд медицинского страхования и в фонд социального страхования. Совокупный норматив данных отчислений составляет 30%.</w:t>
      </w:r>
    </w:p>
    <w:p w14:paraId="2DF93A6C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Далее относительно величины заработной платы нормируются накладные расходы, в качестве применяемого норматива можно рекомендовать 40%. Накладные расходы включают в себя зарплату управленческого и обслуживающего персонала предприятия; оплату командировочных расходов управленческого и обслуживающего персонала предприятия; оплату коммунальных услуг; прочие административные расходы.</w:t>
      </w:r>
    </w:p>
    <w:p w14:paraId="4D42FF20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В себестоимость разработки новой техники, технологии включаются материалы и комплектующие изделия используемые:</w:t>
      </w:r>
    </w:p>
    <w:p w14:paraId="1E4249D1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проведении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научных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исследований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168C92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подготовке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конструкторской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документации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1BBF57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подготовке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технологической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</w:rPr>
        <w:t>документации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8841A6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изготовление макетов, образцов, стендов и т.п.;</w:t>
      </w:r>
    </w:p>
    <w:p w14:paraId="694B5D5C" w14:textId="77777777" w:rsidR="00D86855" w:rsidRPr="00D86855" w:rsidRDefault="00D86855" w:rsidP="00D86855">
      <w:pPr>
        <w:numPr>
          <w:ilvl w:val="0"/>
          <w:numId w:val="4"/>
        </w:numPr>
        <w:spacing w:line="288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проведение опытов и экспериментов в ходе разработки.</w:t>
      </w:r>
    </w:p>
    <w:p w14:paraId="0B498D62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Стоимость сырья, материалов и комплектующих изделий включает в себя цену их приобретения </w:t>
      </w:r>
      <w:proofErr w:type="gramStart"/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за вычетов</w:t>
      </w:r>
      <w:proofErr w:type="gramEnd"/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налога на добавленную стоимость, а также транспортно-заготовительные расходы.</w:t>
      </w:r>
    </w:p>
    <w:p w14:paraId="1FC19EDA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Кроме того, к стоимости НИОКР отдельной строкой относятся командировочные </w:t>
      </w: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расходы, которые включают оплату проезда до места командировки и обратно; оплату проживания; оплату суточных.</w:t>
      </w:r>
    </w:p>
    <w:p w14:paraId="61F7D827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совокупности все </w:t>
      </w:r>
      <w:proofErr w:type="spellStart"/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вышеперечсиленные</w:t>
      </w:r>
      <w:proofErr w:type="spellEnd"/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статьи сметы составляют себестоимость работ, выполняемых собственными силами предприятия. Помимо этого, необходимо также учесть затраты на оплату работ, выполняемых сторонними компаниями. Это могут быть расходы на получение специальной научно-технической информации; платежи за использование средств связи; платежи за коммуникации, необходимые для проведения разработки; юридические и консультационные услуги.</w:t>
      </w:r>
    </w:p>
    <w:p w14:paraId="7C2C2A87" w14:textId="77777777" w:rsidR="00D86855" w:rsidRPr="00D86855" w:rsidRDefault="00D86855" w:rsidP="00D86855">
      <w:pPr>
        <w:ind w:firstLineChars="211" w:firstLine="50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687F7E" w14:textId="77777777" w:rsidR="00D86855" w:rsidRPr="00D86855" w:rsidRDefault="00D86855" w:rsidP="00D86855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Таблица 3 Единовременные затраты на разработку новой техники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662"/>
        <w:gridCol w:w="1400"/>
        <w:gridCol w:w="1703"/>
        <w:gridCol w:w="1426"/>
        <w:gridCol w:w="1555"/>
        <w:gridCol w:w="1599"/>
      </w:tblGrid>
      <w:tr w:rsidR="00D86855" w:rsidRPr="00D86855" w14:paraId="4793E86C" w14:textId="77777777" w:rsidTr="00D8685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7C1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Этап работы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AEEF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B5CE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Число исполнителей, чел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7567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Трудо</w:t>
            </w:r>
            <w:proofErr w:type="spellEnd"/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-затраты</w:t>
            </w:r>
            <w:proofErr w:type="gramEnd"/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чел-час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DAE3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Стоимость часа работы, </w:t>
            </w:r>
            <w:proofErr w:type="spellStart"/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руб</w:t>
            </w:r>
            <w:proofErr w:type="spellEnd"/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/чел-час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3AF0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 работы, руб.</w:t>
            </w:r>
          </w:p>
        </w:tc>
      </w:tr>
      <w:tr w:rsidR="00D86855" w:rsidRPr="00D86855" w14:paraId="1B0F5830" w14:textId="77777777" w:rsidTr="00D8685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4BE8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C07F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B157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0AFA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17C0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EF32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D86855" w14:paraId="2E0CB44D" w14:textId="77777777" w:rsidTr="00D8685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E934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3979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98AB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BD6C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C841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2E5E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D86855" w14:paraId="0C64E27A" w14:textId="77777777" w:rsidTr="00D8685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B3E2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AAA2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F845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4CBA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575B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2B75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D86855" w14:paraId="0069254F" w14:textId="77777777" w:rsidTr="00D8685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13ED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2803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EEC7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3384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2605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6A34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D86855" w14:paraId="0C7BC10F" w14:textId="77777777" w:rsidTr="00D8685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0810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28C7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2FC9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1587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97EA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A482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D86855" w14:paraId="4058041D" w14:textId="77777777" w:rsidTr="00D8685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07E9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369B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4A8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448A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1E01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C4DC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D86855" w14:paraId="778FCBF2" w14:textId="77777777" w:rsidTr="00D86855"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9E5C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Отчисления во внебюджетные фонды 30,2%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F062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05691A" w14:paraId="2430388B" w14:textId="77777777" w:rsidTr="00D86855"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F5ED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Итого затраты на оплату труда непосредственных исполнителей, руб.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7E68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05691A" w14:paraId="5BAFB79D" w14:textId="77777777" w:rsidTr="00D86855"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0163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Накладные расходы по нормативу </w:t>
            </w: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% от стоимости работ непосредственных исполнителей, руб.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2B73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D86855" w14:paraId="2FDDBADF" w14:textId="77777777" w:rsidTr="00D86855"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DDE5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Материалы и комплектующие, руб.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8E8F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D86855" w14:paraId="5F5C620E" w14:textId="77777777" w:rsidTr="00D86855"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DC52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Спецоборудование, руб.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116D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D86855" w14:paraId="42DE08FF" w14:textId="77777777" w:rsidTr="00D86855"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9CA8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Командировочные расходы, руб.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D69C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05691A" w14:paraId="5C375AC4" w14:textId="77777777" w:rsidTr="00D86855"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EECF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Итого себестоимость работ, выполняемых своими силами, руб.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62AC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05691A" w14:paraId="534EDF05" w14:textId="77777777" w:rsidTr="00D86855"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FBD3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Затраты на оплату работ, выполняемых сторонними компаниями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B9B3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6855" w:rsidRPr="00D86855" w14:paraId="2BD32D3C" w14:textId="77777777" w:rsidTr="00D86855"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983D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8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Полная себестоимость работ, руб.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1255" w14:textId="77777777" w:rsidR="00D86855" w:rsidRPr="00D86855" w:rsidRDefault="00D868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bookmarkEnd w:id="0"/>
    </w:tbl>
    <w:p w14:paraId="5F7B0F11" w14:textId="77777777" w:rsidR="00D86855" w:rsidRPr="00D86855" w:rsidRDefault="00D86855" w:rsidP="00D86855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FDE8D4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14:paraId="3DD9C4D6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Сделать выводы о величине затрат и о планируемых эффектах от реализации проекта.</w:t>
      </w:r>
    </w:p>
    <w:p w14:paraId="66612BF1" w14:textId="77777777" w:rsidR="00D86855" w:rsidRPr="00D86855" w:rsidRDefault="00D86855" w:rsidP="00D86855">
      <w:p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DFB376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Список литературы</w:t>
      </w:r>
    </w:p>
    <w:p w14:paraId="78F499D2" w14:textId="77777777" w:rsidR="00D86855" w:rsidRPr="00D86855" w:rsidRDefault="00D86855" w:rsidP="00D86855">
      <w:pPr>
        <w:spacing w:line="288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8685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Сюда оформляются все ссылки, а также источники, использованные для изучения основных понятий.</w:t>
      </w:r>
    </w:p>
    <w:p w14:paraId="795D9465" w14:textId="77777777" w:rsidR="00D86855" w:rsidRPr="00D86855" w:rsidRDefault="00D86855" w:rsidP="0070398E">
      <w:pPr>
        <w:pStyle w:val="a3"/>
        <w:spacing w:before="1" w:line="376" w:lineRule="auto"/>
        <w:ind w:left="400" w:right="22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sectPr w:rsidR="00D86855" w:rsidRPr="00D86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521"/>
    <w:multiLevelType w:val="hybridMultilevel"/>
    <w:tmpl w:val="52444EC0"/>
    <w:lvl w:ilvl="0" w:tplc="D18EAF7A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2F492DF8"/>
    <w:multiLevelType w:val="multilevel"/>
    <w:tmpl w:val="9508E95C"/>
    <w:lvl w:ilvl="0">
      <w:start w:val="1"/>
      <w:numFmt w:val="bullet"/>
      <w:lvlText w:val=""/>
      <w:lvlJc w:val="left"/>
      <w:pPr>
        <w:ind w:left="343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D931F06"/>
    <w:multiLevelType w:val="hybridMultilevel"/>
    <w:tmpl w:val="C7D26A56"/>
    <w:lvl w:ilvl="0" w:tplc="5A608D8C">
      <w:start w:val="1"/>
      <w:numFmt w:val="bullet"/>
      <w:lvlText w:val="–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6ECF4A5D"/>
    <w:multiLevelType w:val="hybridMultilevel"/>
    <w:tmpl w:val="2FB6AFC0"/>
    <w:lvl w:ilvl="0" w:tplc="EE527FA4">
      <w:start w:val="1"/>
      <w:numFmt w:val="decimal"/>
      <w:lvlText w:val="%1."/>
      <w:lvlJc w:val="left"/>
      <w:pPr>
        <w:ind w:left="687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ru-RU"/>
      </w:rPr>
    </w:lvl>
    <w:lvl w:ilvl="1" w:tplc="54581C7A">
      <w:numFmt w:val="bullet"/>
      <w:lvlText w:val="•"/>
      <w:lvlJc w:val="left"/>
      <w:pPr>
        <w:ind w:left="111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ru-RU"/>
      </w:rPr>
    </w:lvl>
    <w:lvl w:ilvl="2" w:tplc="BD5E76E2">
      <w:numFmt w:val="bullet"/>
      <w:lvlText w:val="•"/>
      <w:lvlJc w:val="left"/>
      <w:pPr>
        <w:ind w:left="2136" w:hanging="244"/>
      </w:pPr>
      <w:rPr>
        <w:lang w:val="ru-RU" w:eastAsia="ru-RU"/>
      </w:rPr>
    </w:lvl>
    <w:lvl w:ilvl="3" w:tplc="37DC743E">
      <w:numFmt w:val="bullet"/>
      <w:lvlText w:val="•"/>
      <w:lvlJc w:val="left"/>
      <w:pPr>
        <w:ind w:left="3152" w:hanging="244"/>
      </w:pPr>
      <w:rPr>
        <w:lang w:val="ru-RU" w:eastAsia="ru-RU"/>
      </w:rPr>
    </w:lvl>
    <w:lvl w:ilvl="4" w:tplc="1398FFD4">
      <w:numFmt w:val="bullet"/>
      <w:lvlText w:val="•"/>
      <w:lvlJc w:val="left"/>
      <w:pPr>
        <w:ind w:left="4168" w:hanging="244"/>
      </w:pPr>
      <w:rPr>
        <w:lang w:val="ru-RU" w:eastAsia="ru-RU"/>
      </w:rPr>
    </w:lvl>
    <w:lvl w:ilvl="5" w:tplc="FAAC28D2">
      <w:numFmt w:val="bullet"/>
      <w:lvlText w:val="•"/>
      <w:lvlJc w:val="left"/>
      <w:pPr>
        <w:ind w:left="5184" w:hanging="244"/>
      </w:pPr>
      <w:rPr>
        <w:lang w:val="ru-RU" w:eastAsia="ru-RU"/>
      </w:rPr>
    </w:lvl>
    <w:lvl w:ilvl="6" w:tplc="6D606254">
      <w:numFmt w:val="bullet"/>
      <w:lvlText w:val="•"/>
      <w:lvlJc w:val="left"/>
      <w:pPr>
        <w:ind w:left="6200" w:hanging="244"/>
      </w:pPr>
      <w:rPr>
        <w:lang w:val="ru-RU" w:eastAsia="ru-RU"/>
      </w:rPr>
    </w:lvl>
    <w:lvl w:ilvl="7" w:tplc="B1081FC8">
      <w:numFmt w:val="bullet"/>
      <w:lvlText w:val="•"/>
      <w:lvlJc w:val="left"/>
      <w:pPr>
        <w:ind w:left="7217" w:hanging="244"/>
      </w:pPr>
      <w:rPr>
        <w:lang w:val="ru-RU" w:eastAsia="ru-RU"/>
      </w:rPr>
    </w:lvl>
    <w:lvl w:ilvl="8" w:tplc="B51C8706">
      <w:numFmt w:val="bullet"/>
      <w:lvlText w:val="•"/>
      <w:lvlJc w:val="left"/>
      <w:pPr>
        <w:ind w:left="8233" w:hanging="244"/>
      </w:pPr>
      <w:rPr>
        <w:lang w:val="ru-RU" w:eastAsia="ru-RU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75"/>
    <w:rsid w:val="0005691A"/>
    <w:rsid w:val="004A1C75"/>
    <w:rsid w:val="00653CF5"/>
    <w:rsid w:val="0070398E"/>
    <w:rsid w:val="00CB1E65"/>
    <w:rsid w:val="00D8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BB8F"/>
  <w15:chartTrackingRefBased/>
  <w15:docId w15:val="{DB7E119F-D094-457D-9DB1-E5046930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C75"/>
    <w:pPr>
      <w:widowControl w:val="0"/>
      <w:autoSpaceDE w:val="0"/>
      <w:autoSpaceDN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qFormat/>
    <w:rsid w:val="004A1C75"/>
    <w:pPr>
      <w:ind w:left="1046" w:hanging="64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1C7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nhideWhenUsed/>
    <w:rsid w:val="004A1C75"/>
    <w:pPr>
      <w:spacing w:after="120"/>
    </w:pPr>
  </w:style>
  <w:style w:type="character" w:customStyle="1" w:styleId="a4">
    <w:name w:val="Основной текст Знак"/>
    <w:basedOn w:val="a0"/>
    <w:link w:val="a3"/>
    <w:rsid w:val="004A1C75"/>
    <w:rPr>
      <w:lang w:val="en-US"/>
    </w:rPr>
  </w:style>
  <w:style w:type="paragraph" w:styleId="2">
    <w:name w:val="Body Text Indent 2"/>
    <w:basedOn w:val="a"/>
    <w:link w:val="20"/>
    <w:semiHidden/>
    <w:unhideWhenUsed/>
    <w:rsid w:val="004A1C7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4A1C75"/>
    <w:rPr>
      <w:lang w:val="en-US"/>
    </w:rPr>
  </w:style>
  <w:style w:type="paragraph" w:customStyle="1" w:styleId="a5">
    <w:name w:val="Содержимое таблицы"/>
    <w:basedOn w:val="a"/>
    <w:rsid w:val="004A1C75"/>
    <w:pPr>
      <w:suppressLineNumbers/>
    </w:pPr>
    <w:rPr>
      <w:lang w:eastAsia="ar-SA"/>
    </w:rPr>
  </w:style>
  <w:style w:type="table" w:styleId="a6">
    <w:name w:val="Table Grid"/>
    <w:basedOn w:val="a1"/>
    <w:rsid w:val="00D868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Артем Гуль</cp:lastModifiedBy>
  <cp:revision>4</cp:revision>
  <dcterms:created xsi:type="dcterms:W3CDTF">2024-09-27T20:32:00Z</dcterms:created>
  <dcterms:modified xsi:type="dcterms:W3CDTF">2024-11-09T21:20:00Z</dcterms:modified>
</cp:coreProperties>
</file>