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9AFD" w14:textId="12005EE0" w:rsidR="004744CC" w:rsidRDefault="004744CC">
      <w:pPr>
        <w:spacing w:after="160" w:line="259" w:lineRule="auto"/>
        <w:contextualSpacing w:val="0"/>
        <w:rPr>
          <w:rFonts w:eastAsia="Times New Roman" w:cs="Times New Roman"/>
          <w:b/>
          <w:i/>
          <w:szCs w:val="24"/>
          <w:u w:val="single"/>
        </w:rPr>
      </w:pPr>
      <w:bookmarkStart w:id="0" w:name="_GoBack"/>
      <w:bookmarkEnd w:id="0"/>
      <w:r>
        <w:rPr>
          <w:noProof/>
        </w:rPr>
        <w:drawing>
          <wp:inline distT="0" distB="0" distL="0" distR="0" wp14:anchorId="353DA903" wp14:editId="475E917E">
            <wp:extent cx="5943600" cy="3962400"/>
            <wp:effectExtent l="38100" t="38100" r="38100" b="38100"/>
            <wp:docPr id="4" name="Picture 4" descr="As+this+infographic+by+Jaden+Kolas+shows%2C+the+First+Amendment+offers+five+rights+to+U.S.+citizens.+The+Quill+%26+Scrolll+Honor+Society+in+conjunction+with+the+Eagle+Nation+Online+journalism+staff+will+be+highlighting+those+five+freedoms+Friday+in+the+cafeteria+in+advance+of+Constitution+Day%2C+which+is+Monday%2C+Sept%3B+17.+%22Our+editor-in-chief+Neha+Madhira+came+up+with+this+idea%2C%22+online+newspaper+adviser+Lisa+Roskens+said.+%22The+entire+class+thought+it+was+a+good+one.+We+want+everyone+to+become+aware+of+all+of+the+contents+and+rights++available+through+the+U.S.+Constitutio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this+infographic+by+Jaden+Kolas+shows%2C+the+First+Amendment+offers+five+rights+to+U.S.+citizens.+The+Quill+%26+Scrolll+Honor+Society+in+conjunction+with+the+Eagle+Nation+Online+journalism+staff+will+be+highlighting+those+five+freedoms+Friday+in+the+cafeteria+in+advance+of+Constitution+Day%2C+which+is+Monday%2C+Sept%3B+17.+%22Our+editor-in-chief+Neha+Madhira+came+up+with+this+idea%2C%22+online+newspaper+adviser+Lisa+Roskens+said.+%22The+entire+class+thought+it+was+a+good+one.+We+want+everyone+to+become+aware+of+all+of+the+contents+and+rights++available+through+the+U.S.+Constitution.%22"/>
                    <pic:cNvPicPr>
                      <a:picLocks noChangeAspect="1" noChangeArrowheads="1"/>
                    </pic:cNvPicPr>
                  </pic:nvPicPr>
                  <pic:blipFill>
                    <a:blip r:embed="rId8">
                      <a:alphaModFix amt="8500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w="28575">
                      <a:solidFill>
                        <a:schemeClr val="tx1"/>
                      </a:solidFill>
                    </a:ln>
                  </pic:spPr>
                </pic:pic>
              </a:graphicData>
            </a:graphic>
          </wp:inline>
        </w:drawing>
      </w:r>
    </w:p>
    <w:p w14:paraId="37E43B80" w14:textId="77B2B2E9" w:rsidR="004744CC" w:rsidRPr="002277D2" w:rsidRDefault="004744CC">
      <w:pPr>
        <w:spacing w:after="160" w:line="259" w:lineRule="auto"/>
        <w:contextualSpacing w:val="0"/>
        <w:rPr>
          <w:rFonts w:asciiTheme="minorHAnsi" w:eastAsia="Times New Roman" w:hAnsiTheme="minorHAnsi" w:cstheme="minorHAnsi"/>
          <w:bCs/>
          <w:iCs/>
          <w:szCs w:val="24"/>
          <w:u w:val="single"/>
        </w:rPr>
      </w:pPr>
      <w:r w:rsidRPr="002277D2">
        <w:rPr>
          <w:rFonts w:asciiTheme="minorHAnsi" w:eastAsia="Times New Roman" w:hAnsiTheme="minorHAnsi" w:cstheme="minorHAnsi"/>
          <w:bCs/>
          <w:iCs/>
          <w:szCs w:val="24"/>
          <w:u w:val="single"/>
        </w:rPr>
        <w:t>The 1</w:t>
      </w:r>
      <w:r w:rsidRPr="002277D2">
        <w:rPr>
          <w:rFonts w:asciiTheme="minorHAnsi" w:eastAsia="Times New Roman" w:hAnsiTheme="minorHAnsi" w:cstheme="minorHAnsi"/>
          <w:bCs/>
          <w:iCs/>
          <w:szCs w:val="24"/>
          <w:u w:val="single"/>
          <w:vertAlign w:val="superscript"/>
        </w:rPr>
        <w:t>st</w:t>
      </w:r>
      <w:r w:rsidRPr="002277D2">
        <w:rPr>
          <w:rFonts w:asciiTheme="minorHAnsi" w:eastAsia="Times New Roman" w:hAnsiTheme="minorHAnsi" w:cstheme="minorHAnsi"/>
          <w:bCs/>
          <w:iCs/>
          <w:szCs w:val="24"/>
          <w:u w:val="single"/>
        </w:rPr>
        <w:t xml:space="preserve"> Amendment </w:t>
      </w:r>
      <w:r w:rsidR="005738D9" w:rsidRPr="002277D2">
        <w:rPr>
          <w:rFonts w:asciiTheme="minorHAnsi" w:eastAsia="Times New Roman" w:hAnsiTheme="minorHAnsi" w:cstheme="minorHAnsi"/>
          <w:bCs/>
          <w:iCs/>
          <w:szCs w:val="24"/>
          <w:u w:val="single"/>
        </w:rPr>
        <w:t>protects our:</w:t>
      </w:r>
    </w:p>
    <w:p w14:paraId="1D867F58" w14:textId="30AF2E00" w:rsidR="005738D9" w:rsidRPr="002277D2" w:rsidRDefault="005738D9" w:rsidP="005738D9">
      <w:pPr>
        <w:pStyle w:val="ListParagraph"/>
        <w:numPr>
          <w:ilvl w:val="0"/>
          <w:numId w:val="6"/>
        </w:numPr>
        <w:spacing w:after="160" w:line="259" w:lineRule="auto"/>
        <w:contextualSpacing w:val="0"/>
        <w:rPr>
          <w:rFonts w:asciiTheme="minorHAnsi" w:eastAsia="Times New Roman" w:hAnsiTheme="minorHAnsi" w:cstheme="minorHAnsi"/>
          <w:bCs/>
          <w:iCs/>
          <w:szCs w:val="24"/>
        </w:rPr>
      </w:pPr>
      <w:r w:rsidRPr="002277D2">
        <w:rPr>
          <w:rFonts w:asciiTheme="minorHAnsi" w:eastAsia="Times New Roman" w:hAnsiTheme="minorHAnsi" w:cstheme="minorHAnsi"/>
          <w:bCs/>
          <w:iCs/>
          <w:szCs w:val="24"/>
        </w:rPr>
        <w:t>Freedom of Speech</w:t>
      </w:r>
      <w:r w:rsidR="0063390C" w:rsidRPr="002277D2">
        <w:rPr>
          <w:rFonts w:asciiTheme="minorHAnsi" w:eastAsia="Times New Roman" w:hAnsiTheme="minorHAnsi" w:cstheme="minorHAnsi"/>
          <w:bCs/>
          <w:iCs/>
          <w:szCs w:val="24"/>
        </w:rPr>
        <w:t xml:space="preserve"> – to </w:t>
      </w:r>
      <w:r w:rsidR="00925455" w:rsidRPr="002277D2">
        <w:rPr>
          <w:rFonts w:asciiTheme="minorHAnsi" w:eastAsia="Times New Roman" w:hAnsiTheme="minorHAnsi" w:cstheme="minorHAnsi"/>
          <w:bCs/>
          <w:iCs/>
          <w:szCs w:val="24"/>
        </w:rPr>
        <w:t>speak your mind (</w:t>
      </w:r>
      <w:proofErr w:type="gramStart"/>
      <w:r w:rsidR="00925455" w:rsidRPr="002277D2">
        <w:rPr>
          <w:rFonts w:asciiTheme="minorHAnsi" w:eastAsia="Times New Roman" w:hAnsiTheme="minorHAnsi" w:cstheme="minorHAnsi"/>
          <w:bCs/>
          <w:iCs/>
          <w:szCs w:val="24"/>
        </w:rPr>
        <w:t>as long as</w:t>
      </w:r>
      <w:proofErr w:type="gramEnd"/>
      <w:r w:rsidR="00925455" w:rsidRPr="002277D2">
        <w:rPr>
          <w:rFonts w:asciiTheme="minorHAnsi" w:eastAsia="Times New Roman" w:hAnsiTheme="minorHAnsi" w:cstheme="minorHAnsi"/>
          <w:bCs/>
          <w:iCs/>
          <w:szCs w:val="24"/>
        </w:rPr>
        <w:t xml:space="preserve"> it does not threaten others)</w:t>
      </w:r>
    </w:p>
    <w:p w14:paraId="500CBC8A" w14:textId="44D7974B" w:rsidR="005738D9" w:rsidRPr="002277D2" w:rsidRDefault="005738D9" w:rsidP="005738D9">
      <w:pPr>
        <w:pStyle w:val="ListParagraph"/>
        <w:numPr>
          <w:ilvl w:val="0"/>
          <w:numId w:val="6"/>
        </w:numPr>
        <w:spacing w:after="160" w:line="259" w:lineRule="auto"/>
        <w:contextualSpacing w:val="0"/>
        <w:rPr>
          <w:rFonts w:asciiTheme="minorHAnsi" w:eastAsia="Times New Roman" w:hAnsiTheme="minorHAnsi" w:cstheme="minorHAnsi"/>
          <w:bCs/>
          <w:iCs/>
          <w:szCs w:val="24"/>
        </w:rPr>
      </w:pPr>
      <w:r w:rsidRPr="002277D2">
        <w:rPr>
          <w:rFonts w:asciiTheme="minorHAnsi" w:eastAsia="Times New Roman" w:hAnsiTheme="minorHAnsi" w:cstheme="minorHAnsi"/>
          <w:bCs/>
          <w:iCs/>
          <w:szCs w:val="24"/>
        </w:rPr>
        <w:t>Freedom of Religion</w:t>
      </w:r>
      <w:r w:rsidR="0063390C" w:rsidRPr="002277D2">
        <w:rPr>
          <w:rFonts w:asciiTheme="minorHAnsi" w:eastAsia="Times New Roman" w:hAnsiTheme="minorHAnsi" w:cstheme="minorHAnsi"/>
          <w:bCs/>
          <w:iCs/>
          <w:szCs w:val="24"/>
        </w:rPr>
        <w:t xml:space="preserve"> – to practice whatever form of worship you choose</w:t>
      </w:r>
    </w:p>
    <w:p w14:paraId="0739C234" w14:textId="4458BB1E" w:rsidR="005738D9" w:rsidRPr="002277D2" w:rsidRDefault="005738D9" w:rsidP="005738D9">
      <w:pPr>
        <w:pStyle w:val="ListParagraph"/>
        <w:numPr>
          <w:ilvl w:val="0"/>
          <w:numId w:val="6"/>
        </w:numPr>
        <w:spacing w:after="160" w:line="259" w:lineRule="auto"/>
        <w:contextualSpacing w:val="0"/>
        <w:rPr>
          <w:rFonts w:asciiTheme="minorHAnsi" w:eastAsia="Times New Roman" w:hAnsiTheme="minorHAnsi" w:cstheme="minorHAnsi"/>
          <w:bCs/>
          <w:iCs/>
          <w:szCs w:val="24"/>
        </w:rPr>
      </w:pPr>
      <w:r w:rsidRPr="002277D2">
        <w:rPr>
          <w:rFonts w:asciiTheme="minorHAnsi" w:eastAsia="Times New Roman" w:hAnsiTheme="minorHAnsi" w:cstheme="minorHAnsi"/>
          <w:bCs/>
          <w:iCs/>
          <w:szCs w:val="24"/>
        </w:rPr>
        <w:t>Freedom of the Press</w:t>
      </w:r>
      <w:r w:rsidR="004369D2" w:rsidRPr="002277D2">
        <w:rPr>
          <w:rFonts w:asciiTheme="minorHAnsi" w:eastAsia="Times New Roman" w:hAnsiTheme="minorHAnsi" w:cstheme="minorHAnsi"/>
          <w:bCs/>
          <w:iCs/>
          <w:szCs w:val="24"/>
        </w:rPr>
        <w:t xml:space="preserve"> – to print and publish</w:t>
      </w:r>
      <w:r w:rsidR="0063390C" w:rsidRPr="002277D2">
        <w:rPr>
          <w:rFonts w:asciiTheme="minorHAnsi" w:eastAsia="Times New Roman" w:hAnsiTheme="minorHAnsi" w:cstheme="minorHAnsi"/>
          <w:bCs/>
          <w:iCs/>
          <w:szCs w:val="24"/>
        </w:rPr>
        <w:t xml:space="preserve"> books, newspapers, videos, </w:t>
      </w:r>
      <w:proofErr w:type="spellStart"/>
      <w:r w:rsidR="0063390C" w:rsidRPr="002277D2">
        <w:rPr>
          <w:rFonts w:asciiTheme="minorHAnsi" w:eastAsia="Times New Roman" w:hAnsiTheme="minorHAnsi" w:cstheme="minorHAnsi"/>
          <w:bCs/>
          <w:iCs/>
          <w:szCs w:val="24"/>
        </w:rPr>
        <w:t>etc</w:t>
      </w:r>
      <w:proofErr w:type="spellEnd"/>
    </w:p>
    <w:p w14:paraId="31B66C9C" w14:textId="55F48F41" w:rsidR="005738D9" w:rsidRPr="002277D2" w:rsidRDefault="005738D9" w:rsidP="005738D9">
      <w:pPr>
        <w:pStyle w:val="ListParagraph"/>
        <w:numPr>
          <w:ilvl w:val="0"/>
          <w:numId w:val="6"/>
        </w:numPr>
        <w:spacing w:after="160" w:line="259" w:lineRule="auto"/>
        <w:contextualSpacing w:val="0"/>
        <w:rPr>
          <w:rFonts w:asciiTheme="minorHAnsi" w:eastAsia="Times New Roman" w:hAnsiTheme="minorHAnsi" w:cstheme="minorHAnsi"/>
          <w:bCs/>
          <w:iCs/>
          <w:szCs w:val="24"/>
        </w:rPr>
      </w:pPr>
      <w:r w:rsidRPr="002277D2">
        <w:rPr>
          <w:rFonts w:asciiTheme="minorHAnsi" w:eastAsia="Times New Roman" w:hAnsiTheme="minorHAnsi" w:cstheme="minorHAnsi"/>
          <w:bCs/>
          <w:iCs/>
          <w:szCs w:val="24"/>
        </w:rPr>
        <w:t>Freedom of Assembly</w:t>
      </w:r>
      <w:r w:rsidR="004369D2" w:rsidRPr="002277D2">
        <w:rPr>
          <w:rFonts w:asciiTheme="minorHAnsi" w:eastAsia="Times New Roman" w:hAnsiTheme="minorHAnsi" w:cstheme="minorHAnsi"/>
          <w:bCs/>
          <w:iCs/>
          <w:szCs w:val="24"/>
        </w:rPr>
        <w:t xml:space="preserve"> – to </w:t>
      </w:r>
      <w:proofErr w:type="gramStart"/>
      <w:r w:rsidR="004369D2" w:rsidRPr="002277D2">
        <w:rPr>
          <w:rFonts w:asciiTheme="minorHAnsi" w:eastAsia="Times New Roman" w:hAnsiTheme="minorHAnsi" w:cstheme="minorHAnsi"/>
          <w:bCs/>
          <w:iCs/>
          <w:szCs w:val="24"/>
        </w:rPr>
        <w:t>gather together</w:t>
      </w:r>
      <w:proofErr w:type="gramEnd"/>
    </w:p>
    <w:p w14:paraId="2BD00FBC" w14:textId="78041A56" w:rsidR="005738D9" w:rsidRPr="002277D2" w:rsidRDefault="005738D9" w:rsidP="005738D9">
      <w:pPr>
        <w:pStyle w:val="ListParagraph"/>
        <w:numPr>
          <w:ilvl w:val="0"/>
          <w:numId w:val="6"/>
        </w:numPr>
        <w:spacing w:after="160" w:line="259" w:lineRule="auto"/>
        <w:contextualSpacing w:val="0"/>
        <w:rPr>
          <w:rFonts w:asciiTheme="minorHAnsi" w:eastAsia="Times New Roman" w:hAnsiTheme="minorHAnsi" w:cstheme="minorHAnsi"/>
          <w:bCs/>
          <w:iCs/>
          <w:szCs w:val="24"/>
        </w:rPr>
      </w:pPr>
      <w:r w:rsidRPr="002277D2">
        <w:rPr>
          <w:rFonts w:asciiTheme="minorHAnsi" w:eastAsia="Times New Roman" w:hAnsiTheme="minorHAnsi" w:cstheme="minorHAnsi"/>
          <w:bCs/>
          <w:iCs/>
          <w:szCs w:val="24"/>
        </w:rPr>
        <w:t xml:space="preserve">Freedom to Petition – to ask our government officials to </w:t>
      </w:r>
      <w:r w:rsidR="004369D2" w:rsidRPr="002277D2">
        <w:rPr>
          <w:rFonts w:asciiTheme="minorHAnsi" w:eastAsia="Times New Roman" w:hAnsiTheme="minorHAnsi" w:cstheme="minorHAnsi"/>
          <w:bCs/>
          <w:iCs/>
          <w:szCs w:val="24"/>
        </w:rPr>
        <w:t>do something</w:t>
      </w:r>
    </w:p>
    <w:p w14:paraId="01B16815" w14:textId="4B848AE5" w:rsidR="004744CC" w:rsidRPr="002277D2" w:rsidRDefault="004744CC">
      <w:pPr>
        <w:spacing w:after="160" w:line="259" w:lineRule="auto"/>
        <w:contextualSpacing w:val="0"/>
        <w:rPr>
          <w:rFonts w:asciiTheme="minorHAnsi" w:eastAsia="Times New Roman" w:hAnsiTheme="minorHAnsi" w:cstheme="minorHAnsi"/>
          <w:b/>
          <w:i/>
          <w:szCs w:val="24"/>
          <w:u w:val="single"/>
        </w:rPr>
      </w:pPr>
    </w:p>
    <w:p w14:paraId="36D15C51" w14:textId="6B90EA03" w:rsidR="00925455" w:rsidRPr="002277D2" w:rsidRDefault="00925455">
      <w:pPr>
        <w:spacing w:after="160" w:line="259" w:lineRule="auto"/>
        <w:contextualSpacing w:val="0"/>
        <w:rPr>
          <w:rFonts w:asciiTheme="minorHAnsi" w:eastAsia="Times New Roman" w:hAnsiTheme="minorHAnsi" w:cstheme="minorHAnsi"/>
          <w:b/>
          <w:i/>
          <w:szCs w:val="24"/>
        </w:rPr>
      </w:pPr>
      <w:r w:rsidRPr="002277D2">
        <w:rPr>
          <w:rFonts w:asciiTheme="minorHAnsi" w:eastAsia="Times New Roman" w:hAnsiTheme="minorHAnsi" w:cstheme="minorHAnsi"/>
          <w:b/>
          <w:i/>
          <w:szCs w:val="24"/>
        </w:rPr>
        <w:t xml:space="preserve">Together, this </w:t>
      </w:r>
      <w:r w:rsidR="002277D2" w:rsidRPr="002277D2">
        <w:rPr>
          <w:rFonts w:asciiTheme="minorHAnsi" w:eastAsia="Times New Roman" w:hAnsiTheme="minorHAnsi" w:cstheme="minorHAnsi"/>
          <w:b/>
          <w:i/>
          <w:szCs w:val="24"/>
        </w:rPr>
        <w:t xml:space="preserve">protects </w:t>
      </w:r>
      <w:r w:rsidRPr="002277D2">
        <w:rPr>
          <w:rFonts w:asciiTheme="minorHAnsi" w:eastAsia="Times New Roman" w:hAnsiTheme="minorHAnsi" w:cstheme="minorHAnsi"/>
          <w:b/>
          <w:i/>
          <w:szCs w:val="24"/>
        </w:rPr>
        <w:t>our freedom of expression</w:t>
      </w:r>
      <w:r w:rsidR="002277D2" w:rsidRPr="002277D2">
        <w:rPr>
          <w:rFonts w:asciiTheme="minorHAnsi" w:eastAsia="Times New Roman" w:hAnsiTheme="minorHAnsi" w:cstheme="minorHAnsi"/>
          <w:b/>
          <w:i/>
          <w:szCs w:val="24"/>
        </w:rPr>
        <w:t>!</w:t>
      </w:r>
    </w:p>
    <w:p w14:paraId="56D37A15" w14:textId="09FF579E" w:rsidR="004744CC" w:rsidRDefault="004744CC">
      <w:pPr>
        <w:spacing w:after="160" w:line="259" w:lineRule="auto"/>
        <w:contextualSpacing w:val="0"/>
        <w:rPr>
          <w:rFonts w:eastAsia="Times New Roman" w:cs="Times New Roman"/>
          <w:b/>
          <w:i/>
          <w:szCs w:val="24"/>
          <w:u w:val="single"/>
        </w:rPr>
      </w:pPr>
      <w:r>
        <w:rPr>
          <w:rFonts w:eastAsia="Times New Roman" w:cs="Times New Roman"/>
          <w:b/>
          <w:i/>
          <w:szCs w:val="24"/>
          <w:u w:val="single"/>
        </w:rPr>
        <w:br w:type="page"/>
      </w:r>
    </w:p>
    <w:p w14:paraId="1709185B" w14:textId="7E1D776D" w:rsidR="00F1514F" w:rsidRPr="00EC6428" w:rsidRDefault="00F1514F" w:rsidP="00BA4E41">
      <w:pPr>
        <w:pStyle w:val="Body115"/>
        <w:jc w:val="center"/>
        <w:rPr>
          <w:rFonts w:eastAsia="Times New Roman" w:cs="Times New Roman"/>
          <w:b/>
          <w:szCs w:val="24"/>
          <w:u w:val="single"/>
        </w:rPr>
      </w:pPr>
      <w:r w:rsidRPr="00EC6428">
        <w:rPr>
          <w:rFonts w:eastAsia="Times New Roman" w:cs="Times New Roman"/>
          <w:b/>
          <w:i/>
          <w:szCs w:val="24"/>
          <w:u w:val="single"/>
        </w:rPr>
        <w:lastRenderedPageBreak/>
        <w:t>TINKER V. DES MOINES</w:t>
      </w:r>
      <w:r w:rsidRPr="00EC6428">
        <w:rPr>
          <w:rFonts w:eastAsia="Times New Roman" w:cs="Times New Roman"/>
          <w:b/>
          <w:szCs w:val="24"/>
          <w:u w:val="single"/>
        </w:rPr>
        <w:t xml:space="preserve"> (1969): A BACKGROUND</w:t>
      </w:r>
    </w:p>
    <w:p w14:paraId="127D3A68" w14:textId="464DA666" w:rsidR="00EC6428" w:rsidRPr="00EC6428" w:rsidRDefault="002F4483" w:rsidP="00BA4E41">
      <w:pPr>
        <w:pStyle w:val="Body115"/>
        <w:jc w:val="center"/>
        <w:rPr>
          <w:rFonts w:eastAsia="Times New Roman" w:cs="Times New Roman"/>
          <w:b/>
          <w:szCs w:val="24"/>
          <w:u w:val="single"/>
        </w:rPr>
      </w:pPr>
      <w:r>
        <w:rPr>
          <w:noProof/>
        </w:rPr>
        <w:drawing>
          <wp:anchor distT="0" distB="0" distL="114300" distR="114300" simplePos="0" relativeHeight="251654144" behindDoc="1" locked="0" layoutInCell="1" allowOverlap="1" wp14:anchorId="495C9DB2" wp14:editId="2BF57B9C">
            <wp:simplePos x="0" y="0"/>
            <wp:positionH relativeFrom="margin">
              <wp:align>right</wp:align>
            </wp:positionH>
            <wp:positionV relativeFrom="paragraph">
              <wp:posOffset>141605</wp:posOffset>
            </wp:positionV>
            <wp:extent cx="3140246" cy="2152650"/>
            <wp:effectExtent l="0" t="0" r="3175" b="0"/>
            <wp:wrapTight wrapText="bothSides">
              <wp:wrapPolygon edited="0">
                <wp:start x="0" y="0"/>
                <wp:lineTo x="0" y="21409"/>
                <wp:lineTo x="21491" y="21409"/>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246" cy="2152650"/>
                    </a:xfrm>
                    <a:prstGeom prst="rect">
                      <a:avLst/>
                    </a:prstGeom>
                    <a:noFill/>
                    <a:ln>
                      <a:noFill/>
                    </a:ln>
                  </pic:spPr>
                </pic:pic>
              </a:graphicData>
            </a:graphic>
          </wp:anchor>
        </w:drawing>
      </w:r>
    </w:p>
    <w:p w14:paraId="1709185C" w14:textId="68F108D7" w:rsidR="00F1514F" w:rsidRPr="00EC6428" w:rsidRDefault="00F1514F" w:rsidP="00F1514F">
      <w:pPr>
        <w:pStyle w:val="Body115"/>
        <w:rPr>
          <w:rFonts w:eastAsia="Times New Roman" w:cs="Times New Roman"/>
          <w:szCs w:val="24"/>
        </w:rPr>
      </w:pPr>
      <w:r w:rsidRPr="00EC6428">
        <w:rPr>
          <w:rFonts w:eastAsia="Times New Roman" w:cs="Times New Roman"/>
          <w:szCs w:val="24"/>
        </w:rPr>
        <w:t xml:space="preserve">John and Mary Beth Tinker were public school students in Des Moines, Iowa in December of 1965. As part of a group against American involvement in the </w:t>
      </w:r>
      <w:r w:rsidRPr="000F65C2">
        <w:rPr>
          <w:rFonts w:eastAsia="Times New Roman" w:cs="Times New Roman"/>
          <w:b/>
          <w:bCs/>
          <w:szCs w:val="24"/>
          <w:highlight w:val="yellow"/>
        </w:rPr>
        <w:t>Vietnam War</w:t>
      </w:r>
      <w:r w:rsidRPr="00EC6428">
        <w:rPr>
          <w:rFonts w:eastAsia="Times New Roman" w:cs="Times New Roman"/>
          <w:szCs w:val="24"/>
        </w:rPr>
        <w:t>, they decided to publicize their opposition by wearing black armbands to school. Having heard of the students' plans, the principals of the public schools in Des Moines adopted and informed students of a new policy concerning armbands. This policy stated that any student who wore an armband to school would be asked immediately to remove it. A student who refused to take off his or her armband would be suspended until agreeing to return to school without the band.</w:t>
      </w:r>
    </w:p>
    <w:p w14:paraId="1709185D" w14:textId="77777777" w:rsidR="00F1514F" w:rsidRPr="00EC6428" w:rsidRDefault="00F1514F" w:rsidP="00F1514F">
      <w:pPr>
        <w:pStyle w:val="Body115"/>
        <w:rPr>
          <w:rFonts w:eastAsia="Times New Roman" w:cs="Times New Roman"/>
          <w:szCs w:val="24"/>
        </w:rPr>
      </w:pPr>
    </w:p>
    <w:p w14:paraId="1709185E" w14:textId="6AAB87FC" w:rsidR="00F1514F" w:rsidRPr="00EC6428" w:rsidRDefault="00F1514F" w:rsidP="00F1514F">
      <w:pPr>
        <w:pStyle w:val="Body115"/>
        <w:rPr>
          <w:rFonts w:eastAsia="Times New Roman" w:cs="Times New Roman"/>
          <w:szCs w:val="24"/>
        </w:rPr>
      </w:pPr>
      <w:r w:rsidRPr="00EC6428">
        <w:rPr>
          <w:rFonts w:eastAsia="Times New Roman" w:cs="Times New Roman"/>
          <w:szCs w:val="24"/>
        </w:rPr>
        <w:t>Two days later and aware of the school policy, the Tinker children and a friend decided to wear armbands to school. Upon arriving at school, the children were asked to remove their armbands. They did not remove the armbands and were subsequently suspended until they returned to school without their armbands.</w:t>
      </w:r>
    </w:p>
    <w:p w14:paraId="1709185F" w14:textId="09C27F10" w:rsidR="00F1514F" w:rsidRPr="00EC6428" w:rsidRDefault="0012268A" w:rsidP="00F1514F">
      <w:pPr>
        <w:pStyle w:val="Body115"/>
        <w:rPr>
          <w:rFonts w:eastAsia="Times New Roman" w:cs="Times New Roman"/>
          <w:szCs w:val="24"/>
        </w:rPr>
      </w:pPr>
      <w:r w:rsidRPr="009840A2">
        <w:rPr>
          <w:rFonts w:eastAsia="Times New Roman" w:cs="Times New Roman"/>
          <w:noProof/>
          <w:szCs w:val="24"/>
        </w:rPr>
        <mc:AlternateContent>
          <mc:Choice Requires="wps">
            <w:drawing>
              <wp:anchor distT="45720" distB="45720" distL="114300" distR="114300" simplePos="0" relativeHeight="251659264" behindDoc="0" locked="0" layoutInCell="1" allowOverlap="1" wp14:anchorId="7AE98F8C" wp14:editId="059149EE">
                <wp:simplePos x="0" y="0"/>
                <wp:positionH relativeFrom="margin">
                  <wp:posOffset>-91440</wp:posOffset>
                </wp:positionH>
                <wp:positionV relativeFrom="paragraph">
                  <wp:posOffset>213995</wp:posOffset>
                </wp:positionV>
                <wp:extent cx="3086100" cy="38023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802380"/>
                        </a:xfrm>
                        <a:prstGeom prst="rect">
                          <a:avLst/>
                        </a:prstGeom>
                        <a:solidFill>
                          <a:schemeClr val="accent4">
                            <a:lumMod val="20000"/>
                            <a:lumOff val="80000"/>
                          </a:schemeClr>
                        </a:solidFill>
                        <a:ln w="19050">
                          <a:solidFill>
                            <a:schemeClr val="accent4">
                              <a:lumMod val="75000"/>
                            </a:schemeClr>
                          </a:solidFill>
                          <a:miter lim="800000"/>
                          <a:headEnd/>
                          <a:tailEnd/>
                        </a:ln>
                      </wps:spPr>
                      <wps:txbx>
                        <w:txbxContent>
                          <w:p w14:paraId="21FE5D94" w14:textId="147DD8F7" w:rsidR="0034324A" w:rsidRPr="0034324A" w:rsidRDefault="0034324A" w:rsidP="0034324A">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02C71B5B" w14:textId="77777777" w:rsidR="0034324A" w:rsidRDefault="0034324A">
                            <w:pPr>
                              <w:rPr>
                                <w:rFonts w:asciiTheme="minorHAnsi" w:hAnsiTheme="minorHAnsi" w:cstheme="minorHAnsi"/>
                                <w:b/>
                                <w:bCs/>
                                <w:highlight w:val="yellow"/>
                              </w:rPr>
                            </w:pPr>
                          </w:p>
                          <w:p w14:paraId="408A0008" w14:textId="3658ABE4" w:rsidR="009840A2" w:rsidRDefault="009840A2">
                            <w:pPr>
                              <w:rPr>
                                <w:rFonts w:asciiTheme="minorHAnsi" w:hAnsiTheme="minorHAnsi" w:cstheme="minorHAnsi"/>
                              </w:rPr>
                            </w:pPr>
                            <w:r w:rsidRPr="009840A2">
                              <w:rPr>
                                <w:rFonts w:asciiTheme="minorHAnsi" w:hAnsiTheme="minorHAnsi" w:cstheme="minorHAnsi"/>
                                <w:b/>
                                <w:bCs/>
                                <w:highlight w:val="yellow"/>
                              </w:rPr>
                              <w:t>Vietnam War</w:t>
                            </w:r>
                            <w:r w:rsidRPr="009840A2">
                              <w:rPr>
                                <w:rFonts w:asciiTheme="minorHAnsi" w:hAnsiTheme="minorHAnsi" w:cstheme="minorHAnsi"/>
                              </w:rPr>
                              <w:t xml:space="preserve">: A war in Southeast Asia in which US involvement from 1965-1973 resulted in over 58,000 deaths of </w:t>
                            </w:r>
                            <w:r>
                              <w:rPr>
                                <w:rFonts w:asciiTheme="minorHAnsi" w:hAnsiTheme="minorHAnsi" w:cstheme="minorHAnsi"/>
                              </w:rPr>
                              <w:t>US</w:t>
                            </w:r>
                            <w:r w:rsidRPr="009840A2">
                              <w:rPr>
                                <w:rFonts w:asciiTheme="minorHAnsi" w:hAnsiTheme="minorHAnsi" w:cstheme="minorHAnsi"/>
                              </w:rPr>
                              <w:t xml:space="preserve"> soldiers.</w:t>
                            </w:r>
                          </w:p>
                          <w:p w14:paraId="1A88F282" w14:textId="12CC2C69" w:rsidR="009840A2" w:rsidRDefault="009840A2">
                            <w:pPr>
                              <w:rPr>
                                <w:rFonts w:asciiTheme="minorHAnsi" w:hAnsiTheme="minorHAnsi" w:cstheme="minorHAnsi"/>
                              </w:rPr>
                            </w:pPr>
                          </w:p>
                          <w:p w14:paraId="3DD0810D" w14:textId="7E78322D" w:rsidR="009840A2" w:rsidRDefault="00E1357B">
                            <w:pPr>
                              <w:rPr>
                                <w:rFonts w:asciiTheme="minorHAnsi" w:hAnsiTheme="minorHAnsi" w:cstheme="minorHAnsi"/>
                              </w:rPr>
                            </w:pPr>
                            <w:r w:rsidRPr="0034324A">
                              <w:rPr>
                                <w:rFonts w:asciiTheme="minorHAnsi" w:hAnsiTheme="minorHAnsi" w:cstheme="minorHAnsi"/>
                                <w:b/>
                                <w:bCs/>
                                <w:highlight w:val="yellow"/>
                              </w:rPr>
                              <w:t>Protest</w:t>
                            </w:r>
                            <w:r>
                              <w:rPr>
                                <w:rFonts w:asciiTheme="minorHAnsi" w:hAnsiTheme="minorHAnsi" w:cstheme="minorHAnsi"/>
                              </w:rPr>
                              <w:t xml:space="preserve">: </w:t>
                            </w:r>
                            <w:r w:rsidRPr="00E1357B">
                              <w:rPr>
                                <w:rFonts w:asciiTheme="minorHAnsi" w:hAnsiTheme="minorHAnsi" w:cstheme="minorHAnsi"/>
                              </w:rPr>
                              <w:t>To oppose or object to</w:t>
                            </w:r>
                            <w:r w:rsidR="00265AAF">
                              <w:rPr>
                                <w:rFonts w:asciiTheme="minorHAnsi" w:hAnsiTheme="minorHAnsi" w:cstheme="minorHAnsi"/>
                              </w:rPr>
                              <w:t>.</w:t>
                            </w:r>
                          </w:p>
                          <w:p w14:paraId="6429EAB9" w14:textId="371E9725" w:rsidR="00265AAF" w:rsidRDefault="00265AAF">
                            <w:pPr>
                              <w:rPr>
                                <w:rFonts w:asciiTheme="minorHAnsi" w:hAnsiTheme="minorHAnsi" w:cstheme="minorHAnsi"/>
                              </w:rPr>
                            </w:pPr>
                          </w:p>
                          <w:p w14:paraId="2B993B69" w14:textId="6BA28B71" w:rsidR="00265AAF" w:rsidRDefault="00265AAF">
                            <w:pPr>
                              <w:rPr>
                                <w:rFonts w:asciiTheme="minorHAnsi" w:hAnsiTheme="minorHAnsi" w:cstheme="minorHAnsi"/>
                              </w:rPr>
                            </w:pPr>
                            <w:r w:rsidRPr="0034324A">
                              <w:rPr>
                                <w:rFonts w:asciiTheme="minorHAnsi" w:hAnsiTheme="minorHAnsi" w:cstheme="minorHAnsi"/>
                                <w:b/>
                                <w:bCs/>
                                <w:highlight w:val="yellow"/>
                              </w:rPr>
                              <w:t>Lawsuit</w:t>
                            </w:r>
                            <w:r>
                              <w:rPr>
                                <w:rFonts w:asciiTheme="minorHAnsi" w:hAnsiTheme="minorHAnsi" w:cstheme="minorHAnsi"/>
                              </w:rPr>
                              <w:t xml:space="preserve">: </w:t>
                            </w:r>
                            <w:r w:rsidR="004E62A7">
                              <w:rPr>
                                <w:rFonts w:asciiTheme="minorHAnsi" w:hAnsiTheme="minorHAnsi" w:cstheme="minorHAnsi"/>
                              </w:rPr>
                              <w:t xml:space="preserve">A dispute brought </w:t>
                            </w:r>
                            <w:r w:rsidR="000F65C2">
                              <w:rPr>
                                <w:rFonts w:asciiTheme="minorHAnsi" w:hAnsiTheme="minorHAnsi" w:cstheme="minorHAnsi"/>
                              </w:rPr>
                              <w:t>to a court to resolve</w:t>
                            </w:r>
                          </w:p>
                          <w:p w14:paraId="55CC51EE" w14:textId="1A6FF63F" w:rsidR="002740BE" w:rsidRDefault="002740BE">
                            <w:pPr>
                              <w:rPr>
                                <w:rFonts w:asciiTheme="minorHAnsi" w:hAnsiTheme="minorHAnsi" w:cstheme="minorHAnsi"/>
                              </w:rPr>
                            </w:pPr>
                          </w:p>
                          <w:p w14:paraId="5446A01C" w14:textId="26D8334E" w:rsidR="002740BE" w:rsidRDefault="002740BE">
                            <w:pPr>
                              <w:rPr>
                                <w:rFonts w:asciiTheme="minorHAnsi" w:hAnsiTheme="minorHAnsi" w:cstheme="minorHAnsi"/>
                              </w:rPr>
                            </w:pPr>
                            <w:r w:rsidRPr="0034324A">
                              <w:rPr>
                                <w:rFonts w:asciiTheme="minorHAnsi" w:hAnsiTheme="minorHAnsi" w:cstheme="minorHAnsi"/>
                                <w:b/>
                                <w:bCs/>
                                <w:highlight w:val="yellow"/>
                              </w:rPr>
                              <w:t>Injunction</w:t>
                            </w:r>
                            <w:r>
                              <w:rPr>
                                <w:rFonts w:asciiTheme="minorHAnsi" w:hAnsiTheme="minorHAnsi" w:cstheme="minorHAnsi"/>
                              </w:rPr>
                              <w:t xml:space="preserve">: A legal order that </w:t>
                            </w:r>
                            <w:r w:rsidR="003B058F">
                              <w:rPr>
                                <w:rFonts w:asciiTheme="minorHAnsi" w:hAnsiTheme="minorHAnsi" w:cstheme="minorHAnsi"/>
                              </w:rPr>
                              <w:t>requires a person to carry out an act</w:t>
                            </w:r>
                          </w:p>
                          <w:p w14:paraId="4F34F334" w14:textId="3D62F0C0" w:rsidR="000C13C2" w:rsidRDefault="000C13C2">
                            <w:pPr>
                              <w:rPr>
                                <w:rFonts w:asciiTheme="minorHAnsi" w:hAnsiTheme="minorHAnsi" w:cstheme="minorHAnsi"/>
                              </w:rPr>
                            </w:pPr>
                          </w:p>
                          <w:p w14:paraId="17BACDF2" w14:textId="226BDFC1" w:rsidR="000C13C2" w:rsidRPr="009840A2" w:rsidRDefault="000C13C2">
                            <w:pPr>
                              <w:rPr>
                                <w:rFonts w:asciiTheme="minorHAnsi" w:hAnsiTheme="minorHAnsi" w:cstheme="minorHAnsi"/>
                              </w:rPr>
                            </w:pPr>
                            <w:r w:rsidRPr="0034324A">
                              <w:rPr>
                                <w:rFonts w:asciiTheme="minorHAnsi" w:hAnsiTheme="minorHAnsi" w:cstheme="minorHAnsi"/>
                                <w:b/>
                                <w:bCs/>
                                <w:highlight w:val="yellow"/>
                              </w:rPr>
                              <w:t>Appeal</w:t>
                            </w:r>
                            <w:r>
                              <w:rPr>
                                <w:rFonts w:asciiTheme="minorHAnsi" w:hAnsiTheme="minorHAnsi" w:cstheme="minorHAnsi"/>
                              </w:rPr>
                              <w:t xml:space="preserve">: </w:t>
                            </w:r>
                            <w:r w:rsidR="0034324A">
                              <w:rPr>
                                <w:rFonts w:asciiTheme="minorHAnsi" w:hAnsiTheme="minorHAnsi" w:cstheme="minorHAnsi"/>
                              </w:rPr>
                              <w:t>To request that a higher court review a lower court’s decision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E98F8C" id="_x0000_t202" coordsize="21600,21600" o:spt="202" path="m,l,21600r21600,l21600,xe">
                <v:stroke joinstyle="miter"/>
                <v:path gradientshapeok="t" o:connecttype="rect"/>
              </v:shapetype>
              <v:shape id="Text Box 2" o:spid="_x0000_s1026" type="#_x0000_t202" style="position:absolute;margin-left:-7.2pt;margin-top:16.85pt;width:243pt;height:299.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" fillcolor="#fff2cc [663]" strokecolor="#bf8f00 [2407]" strokeweight="1.5pt">
                <v:textbox>
                  <w:txbxContent>
                    <w:p w14:paraId="21FE5D94" w14:textId="147DD8F7" w:rsidR="0034324A" w:rsidRPr="0034324A" w:rsidRDefault="0034324A" w:rsidP="0034324A">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02C71B5B" w14:textId="77777777" w:rsidR="0034324A" w:rsidRDefault="0034324A">
                      <w:pPr>
                        <w:rPr>
                          <w:rFonts w:asciiTheme="minorHAnsi" w:hAnsiTheme="minorHAnsi" w:cstheme="minorHAnsi"/>
                          <w:b/>
                          <w:bCs/>
                          <w:highlight w:val="yellow"/>
                        </w:rPr>
                      </w:pPr>
                    </w:p>
                    <w:p w14:paraId="408A0008" w14:textId="3658ABE4" w:rsidR="009840A2" w:rsidRDefault="009840A2">
                      <w:pPr>
                        <w:rPr>
                          <w:rFonts w:asciiTheme="minorHAnsi" w:hAnsiTheme="minorHAnsi" w:cstheme="minorHAnsi"/>
                        </w:rPr>
                      </w:pPr>
                      <w:r w:rsidRPr="009840A2">
                        <w:rPr>
                          <w:rFonts w:asciiTheme="minorHAnsi" w:hAnsiTheme="minorHAnsi" w:cstheme="minorHAnsi"/>
                          <w:b/>
                          <w:bCs/>
                          <w:highlight w:val="yellow"/>
                        </w:rPr>
                        <w:t>Vietnam War</w:t>
                      </w:r>
                      <w:r w:rsidRPr="009840A2">
                        <w:rPr>
                          <w:rFonts w:asciiTheme="minorHAnsi" w:hAnsiTheme="minorHAnsi" w:cstheme="minorHAnsi"/>
                        </w:rPr>
                        <w:t xml:space="preserve">: A war in Southeast Asia in which US involvement from 1965-1973 resulted in over 58,000 deaths of </w:t>
                      </w:r>
                      <w:r>
                        <w:rPr>
                          <w:rFonts w:asciiTheme="minorHAnsi" w:hAnsiTheme="minorHAnsi" w:cstheme="minorHAnsi"/>
                        </w:rPr>
                        <w:t>US</w:t>
                      </w:r>
                      <w:r w:rsidRPr="009840A2">
                        <w:rPr>
                          <w:rFonts w:asciiTheme="minorHAnsi" w:hAnsiTheme="minorHAnsi" w:cstheme="minorHAnsi"/>
                        </w:rPr>
                        <w:t xml:space="preserve"> soldiers.</w:t>
                      </w:r>
                    </w:p>
                    <w:p w14:paraId="1A88F282" w14:textId="12CC2C69" w:rsidR="009840A2" w:rsidRDefault="009840A2">
                      <w:pPr>
                        <w:rPr>
                          <w:rFonts w:asciiTheme="minorHAnsi" w:hAnsiTheme="minorHAnsi" w:cstheme="minorHAnsi"/>
                        </w:rPr>
                      </w:pPr>
                    </w:p>
                    <w:p w14:paraId="3DD0810D" w14:textId="7E78322D" w:rsidR="009840A2" w:rsidRDefault="00E1357B">
                      <w:pPr>
                        <w:rPr>
                          <w:rFonts w:asciiTheme="minorHAnsi" w:hAnsiTheme="minorHAnsi" w:cstheme="minorHAnsi"/>
                        </w:rPr>
                      </w:pPr>
                      <w:r w:rsidRPr="0034324A">
                        <w:rPr>
                          <w:rFonts w:asciiTheme="minorHAnsi" w:hAnsiTheme="minorHAnsi" w:cstheme="minorHAnsi"/>
                          <w:b/>
                          <w:bCs/>
                          <w:highlight w:val="yellow"/>
                        </w:rPr>
                        <w:t>Protest</w:t>
                      </w:r>
                      <w:r>
                        <w:rPr>
                          <w:rFonts w:asciiTheme="minorHAnsi" w:hAnsiTheme="minorHAnsi" w:cstheme="minorHAnsi"/>
                        </w:rPr>
                        <w:t xml:space="preserve">: </w:t>
                      </w:r>
                      <w:r w:rsidRPr="00E1357B">
                        <w:rPr>
                          <w:rFonts w:asciiTheme="minorHAnsi" w:hAnsiTheme="minorHAnsi" w:cstheme="minorHAnsi"/>
                        </w:rPr>
                        <w:t>To oppose or object to</w:t>
                      </w:r>
                      <w:r w:rsidR="00265AAF">
                        <w:rPr>
                          <w:rFonts w:asciiTheme="minorHAnsi" w:hAnsiTheme="minorHAnsi" w:cstheme="minorHAnsi"/>
                        </w:rPr>
                        <w:t>.</w:t>
                      </w:r>
                    </w:p>
                    <w:p w14:paraId="6429EAB9" w14:textId="371E9725" w:rsidR="00265AAF" w:rsidRDefault="00265AAF">
                      <w:pPr>
                        <w:rPr>
                          <w:rFonts w:asciiTheme="minorHAnsi" w:hAnsiTheme="minorHAnsi" w:cstheme="minorHAnsi"/>
                        </w:rPr>
                      </w:pPr>
                    </w:p>
                    <w:p w14:paraId="2B993B69" w14:textId="6BA28B71" w:rsidR="00265AAF" w:rsidRDefault="00265AAF">
                      <w:pPr>
                        <w:rPr>
                          <w:rFonts w:asciiTheme="minorHAnsi" w:hAnsiTheme="minorHAnsi" w:cstheme="minorHAnsi"/>
                        </w:rPr>
                      </w:pPr>
                      <w:r w:rsidRPr="0034324A">
                        <w:rPr>
                          <w:rFonts w:asciiTheme="minorHAnsi" w:hAnsiTheme="minorHAnsi" w:cstheme="minorHAnsi"/>
                          <w:b/>
                          <w:bCs/>
                          <w:highlight w:val="yellow"/>
                        </w:rPr>
                        <w:t>Lawsuit</w:t>
                      </w:r>
                      <w:r>
                        <w:rPr>
                          <w:rFonts w:asciiTheme="minorHAnsi" w:hAnsiTheme="minorHAnsi" w:cstheme="minorHAnsi"/>
                        </w:rPr>
                        <w:t xml:space="preserve">: </w:t>
                      </w:r>
                      <w:r w:rsidR="004E62A7">
                        <w:rPr>
                          <w:rFonts w:asciiTheme="minorHAnsi" w:hAnsiTheme="minorHAnsi" w:cstheme="minorHAnsi"/>
                        </w:rPr>
                        <w:t xml:space="preserve">A dispute brought </w:t>
                      </w:r>
                      <w:r w:rsidR="000F65C2">
                        <w:rPr>
                          <w:rFonts w:asciiTheme="minorHAnsi" w:hAnsiTheme="minorHAnsi" w:cstheme="minorHAnsi"/>
                        </w:rPr>
                        <w:t>to a court to resolve</w:t>
                      </w:r>
                    </w:p>
                    <w:p w14:paraId="55CC51EE" w14:textId="1A6FF63F" w:rsidR="002740BE" w:rsidRDefault="002740BE">
                      <w:pPr>
                        <w:rPr>
                          <w:rFonts w:asciiTheme="minorHAnsi" w:hAnsiTheme="minorHAnsi" w:cstheme="minorHAnsi"/>
                        </w:rPr>
                      </w:pPr>
                    </w:p>
                    <w:p w14:paraId="5446A01C" w14:textId="26D8334E" w:rsidR="002740BE" w:rsidRDefault="002740BE">
                      <w:pPr>
                        <w:rPr>
                          <w:rFonts w:asciiTheme="minorHAnsi" w:hAnsiTheme="minorHAnsi" w:cstheme="minorHAnsi"/>
                        </w:rPr>
                      </w:pPr>
                      <w:r w:rsidRPr="0034324A">
                        <w:rPr>
                          <w:rFonts w:asciiTheme="minorHAnsi" w:hAnsiTheme="minorHAnsi" w:cstheme="minorHAnsi"/>
                          <w:b/>
                          <w:bCs/>
                          <w:highlight w:val="yellow"/>
                        </w:rPr>
                        <w:t>Injunction</w:t>
                      </w:r>
                      <w:r>
                        <w:rPr>
                          <w:rFonts w:asciiTheme="minorHAnsi" w:hAnsiTheme="minorHAnsi" w:cstheme="minorHAnsi"/>
                        </w:rPr>
                        <w:t xml:space="preserve">: A legal order that </w:t>
                      </w:r>
                      <w:r w:rsidR="003B058F">
                        <w:rPr>
                          <w:rFonts w:asciiTheme="minorHAnsi" w:hAnsiTheme="minorHAnsi" w:cstheme="minorHAnsi"/>
                        </w:rPr>
                        <w:t>requires a person to carry out an act</w:t>
                      </w:r>
                    </w:p>
                    <w:p w14:paraId="4F34F334" w14:textId="3D62F0C0" w:rsidR="000C13C2" w:rsidRDefault="000C13C2">
                      <w:pPr>
                        <w:rPr>
                          <w:rFonts w:asciiTheme="minorHAnsi" w:hAnsiTheme="minorHAnsi" w:cstheme="minorHAnsi"/>
                        </w:rPr>
                      </w:pPr>
                    </w:p>
                    <w:p w14:paraId="17BACDF2" w14:textId="226BDFC1" w:rsidR="000C13C2" w:rsidRPr="009840A2" w:rsidRDefault="000C13C2">
                      <w:pPr>
                        <w:rPr>
                          <w:rFonts w:asciiTheme="minorHAnsi" w:hAnsiTheme="minorHAnsi" w:cstheme="minorHAnsi"/>
                        </w:rPr>
                      </w:pPr>
                      <w:r w:rsidRPr="0034324A">
                        <w:rPr>
                          <w:rFonts w:asciiTheme="minorHAnsi" w:hAnsiTheme="minorHAnsi" w:cstheme="minorHAnsi"/>
                          <w:b/>
                          <w:bCs/>
                          <w:highlight w:val="yellow"/>
                        </w:rPr>
                        <w:t>Appeal</w:t>
                      </w:r>
                      <w:r>
                        <w:rPr>
                          <w:rFonts w:asciiTheme="minorHAnsi" w:hAnsiTheme="minorHAnsi" w:cstheme="minorHAnsi"/>
                        </w:rPr>
                        <w:t xml:space="preserve">: </w:t>
                      </w:r>
                      <w:r w:rsidR="0034324A">
                        <w:rPr>
                          <w:rFonts w:asciiTheme="minorHAnsi" w:hAnsiTheme="minorHAnsi" w:cstheme="minorHAnsi"/>
                        </w:rPr>
                        <w:t>To request that a higher court review a lower court’s decision</w:t>
                      </w:r>
                    </w:p>
                  </w:txbxContent>
                </v:textbox>
                <w10:wrap type="square" anchorx="margin"/>
              </v:shape>
            </w:pict>
          </mc:Fallback>
        </mc:AlternateContent>
      </w:r>
    </w:p>
    <w:p w14:paraId="17091860" w14:textId="13EE9800" w:rsidR="00F1514F" w:rsidRPr="00EC6428" w:rsidRDefault="00F1514F" w:rsidP="00F1514F">
      <w:pPr>
        <w:pStyle w:val="Body115"/>
        <w:rPr>
          <w:rFonts w:eastAsia="Times New Roman" w:cs="Times New Roman"/>
          <w:szCs w:val="24"/>
        </w:rPr>
      </w:pPr>
      <w:r w:rsidRPr="00EC6428">
        <w:rPr>
          <w:rFonts w:eastAsia="Times New Roman" w:cs="Times New Roman"/>
          <w:szCs w:val="24"/>
        </w:rPr>
        <w:t xml:space="preserve">The children returned to school without armbands after January 1, 1966, the date scheduled for the end of their </w:t>
      </w:r>
      <w:r w:rsidRPr="000F65C2">
        <w:rPr>
          <w:rFonts w:eastAsia="Times New Roman" w:cs="Times New Roman"/>
          <w:b/>
          <w:bCs/>
          <w:szCs w:val="24"/>
          <w:highlight w:val="yellow"/>
        </w:rPr>
        <w:t>protest</w:t>
      </w:r>
      <w:r w:rsidRPr="00EC6428">
        <w:rPr>
          <w:rFonts w:eastAsia="Times New Roman" w:cs="Times New Roman"/>
          <w:szCs w:val="24"/>
        </w:rPr>
        <w:t xml:space="preserve">. However, their fathers filed </w:t>
      </w:r>
      <w:r w:rsidR="00265AAF">
        <w:rPr>
          <w:rFonts w:eastAsia="Times New Roman" w:cs="Times New Roman"/>
          <w:szCs w:val="24"/>
        </w:rPr>
        <w:t xml:space="preserve">a </w:t>
      </w:r>
      <w:r w:rsidR="00265AAF" w:rsidRPr="000F65C2">
        <w:rPr>
          <w:rFonts w:eastAsia="Times New Roman" w:cs="Times New Roman"/>
          <w:b/>
          <w:bCs/>
          <w:szCs w:val="24"/>
          <w:highlight w:val="yellow"/>
        </w:rPr>
        <w:t>law</w:t>
      </w:r>
      <w:r w:rsidRPr="000F65C2">
        <w:rPr>
          <w:rFonts w:eastAsia="Times New Roman" w:cs="Times New Roman"/>
          <w:b/>
          <w:bCs/>
          <w:szCs w:val="24"/>
          <w:highlight w:val="yellow"/>
        </w:rPr>
        <w:t>suit</w:t>
      </w:r>
      <w:r w:rsidRPr="00EC6428">
        <w:rPr>
          <w:rFonts w:eastAsia="Times New Roman" w:cs="Times New Roman"/>
          <w:szCs w:val="24"/>
        </w:rPr>
        <w:t xml:space="preserve"> in U.S. District Court. This suit asked the court for a small amount of money for damages and an </w:t>
      </w:r>
      <w:r w:rsidRPr="002740BE">
        <w:rPr>
          <w:rFonts w:eastAsia="Times New Roman" w:cs="Times New Roman"/>
          <w:b/>
          <w:bCs/>
          <w:szCs w:val="24"/>
          <w:highlight w:val="yellow"/>
        </w:rPr>
        <w:t>injunction</w:t>
      </w:r>
      <w:r w:rsidRPr="00EC6428">
        <w:rPr>
          <w:rFonts w:eastAsia="Times New Roman" w:cs="Times New Roman"/>
          <w:szCs w:val="24"/>
        </w:rPr>
        <w:t xml:space="preserve"> to restrain school officials from enforcing their armband policy. Although the District Court recognized the children's First Amendment right to free speech, the court refused to issue an injunction, claiming that the school officials' actions were reasonable </w:t>
      </w:r>
      <w:proofErr w:type="gramStart"/>
      <w:r w:rsidRPr="00EC6428">
        <w:rPr>
          <w:rFonts w:eastAsia="Times New Roman" w:cs="Times New Roman"/>
          <w:szCs w:val="24"/>
        </w:rPr>
        <w:t>in light of</w:t>
      </w:r>
      <w:proofErr w:type="gramEnd"/>
      <w:r w:rsidRPr="00EC6428">
        <w:rPr>
          <w:rFonts w:eastAsia="Times New Roman" w:cs="Times New Roman"/>
          <w:szCs w:val="24"/>
        </w:rPr>
        <w:t xml:space="preserve"> potential disruptions from the students' protest. The Tinkers </w:t>
      </w:r>
      <w:r w:rsidRPr="000C13C2">
        <w:rPr>
          <w:rFonts w:eastAsia="Times New Roman" w:cs="Times New Roman"/>
          <w:b/>
          <w:bCs/>
          <w:szCs w:val="24"/>
          <w:highlight w:val="yellow"/>
        </w:rPr>
        <w:t>appealed</w:t>
      </w:r>
      <w:r w:rsidRPr="00EC6428">
        <w:rPr>
          <w:rFonts w:eastAsia="Times New Roman" w:cs="Times New Roman"/>
          <w:szCs w:val="24"/>
        </w:rPr>
        <w:t xml:space="preserve"> their case to the U.S. Court of Appeals but were disappointed when a tie vote in that court allowed the District Court's ruling stand. As a </w:t>
      </w:r>
      <w:proofErr w:type="gramStart"/>
      <w:r w:rsidRPr="00EC6428">
        <w:rPr>
          <w:rFonts w:eastAsia="Times New Roman" w:cs="Times New Roman"/>
          <w:szCs w:val="24"/>
        </w:rPr>
        <w:t>result</w:t>
      </w:r>
      <w:proofErr w:type="gramEnd"/>
      <w:r w:rsidRPr="00EC6428">
        <w:rPr>
          <w:rFonts w:eastAsia="Times New Roman" w:cs="Times New Roman"/>
          <w:szCs w:val="24"/>
        </w:rPr>
        <w:t xml:space="preserve"> they decided to appeal the case to the Supreme Court of the United States.</w:t>
      </w:r>
    </w:p>
    <w:p w14:paraId="17091861" w14:textId="77777777" w:rsidR="00F1514F" w:rsidRPr="00EC6428" w:rsidRDefault="00F1514F" w:rsidP="00F1514F">
      <w:pPr>
        <w:pStyle w:val="Body115"/>
        <w:rPr>
          <w:rFonts w:eastAsia="Times New Roman" w:cs="Times New Roman"/>
          <w:szCs w:val="24"/>
        </w:rPr>
      </w:pPr>
    </w:p>
    <w:p w14:paraId="17091862" w14:textId="02CFFA2D" w:rsidR="00F1514F" w:rsidRPr="00EC6428" w:rsidRDefault="001034AE" w:rsidP="00F1514F">
      <w:pPr>
        <w:pStyle w:val="Body115"/>
        <w:rPr>
          <w:rFonts w:eastAsia="Times New Roman" w:cs="Times New Roman"/>
          <w:szCs w:val="24"/>
        </w:rPr>
      </w:pPr>
      <w:r w:rsidRPr="009840A2">
        <w:rPr>
          <w:rFonts w:eastAsia="Times New Roman" w:cs="Times New Roman"/>
          <w:noProof/>
          <w:szCs w:val="24"/>
        </w:rPr>
        <mc:AlternateContent>
          <mc:Choice Requires="wps">
            <w:drawing>
              <wp:anchor distT="45720" distB="45720" distL="114300" distR="114300" simplePos="0" relativeHeight="251661312" behindDoc="0" locked="0" layoutInCell="1" allowOverlap="1" wp14:anchorId="7FBD3C8D" wp14:editId="454F04D1">
                <wp:simplePos x="0" y="0"/>
                <wp:positionH relativeFrom="margin">
                  <wp:align>right</wp:align>
                </wp:positionH>
                <wp:positionV relativeFrom="paragraph">
                  <wp:posOffset>7620</wp:posOffset>
                </wp:positionV>
                <wp:extent cx="3086100" cy="371094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710940"/>
                        </a:xfrm>
                        <a:prstGeom prst="rect">
                          <a:avLst/>
                        </a:prstGeom>
                        <a:solidFill>
                          <a:schemeClr val="accent4">
                            <a:lumMod val="20000"/>
                            <a:lumOff val="80000"/>
                          </a:schemeClr>
                        </a:solidFill>
                        <a:ln w="19050">
                          <a:solidFill>
                            <a:schemeClr val="accent4">
                              <a:lumMod val="75000"/>
                            </a:schemeClr>
                          </a:solidFill>
                          <a:miter lim="800000"/>
                          <a:headEnd/>
                          <a:tailEnd/>
                        </a:ln>
                      </wps:spPr>
                      <wps:txbx>
                        <w:txbxContent>
                          <w:p w14:paraId="4264284C" w14:textId="77777777" w:rsidR="001034AE" w:rsidRPr="0034324A" w:rsidRDefault="001034AE" w:rsidP="001034AE">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176AB98A" w14:textId="77777777" w:rsidR="001034AE" w:rsidRDefault="001034AE" w:rsidP="001034AE">
                            <w:pPr>
                              <w:rPr>
                                <w:rFonts w:asciiTheme="minorHAnsi" w:hAnsiTheme="minorHAnsi" w:cstheme="minorHAnsi"/>
                                <w:b/>
                                <w:bCs/>
                                <w:highlight w:val="yellow"/>
                              </w:rPr>
                            </w:pPr>
                          </w:p>
                          <w:p w14:paraId="745C9302" w14:textId="40268CC3" w:rsidR="001034AE" w:rsidRDefault="001034AE" w:rsidP="001034AE">
                            <w:pPr>
                              <w:rPr>
                                <w:rFonts w:asciiTheme="minorHAnsi" w:hAnsiTheme="minorHAnsi" w:cstheme="minorHAnsi"/>
                              </w:rPr>
                            </w:pPr>
                            <w:r w:rsidRPr="00AC7613">
                              <w:rPr>
                                <w:rFonts w:asciiTheme="minorHAnsi" w:hAnsiTheme="minorHAnsi" w:cstheme="minorHAnsi"/>
                                <w:b/>
                                <w:bCs/>
                                <w:highlight w:val="yellow"/>
                              </w:rPr>
                              <w:t>Symbolic Speech</w:t>
                            </w:r>
                            <w:r w:rsidRPr="009840A2">
                              <w:rPr>
                                <w:rFonts w:asciiTheme="minorHAnsi" w:hAnsiTheme="minorHAnsi" w:cstheme="minorHAnsi"/>
                              </w:rPr>
                              <w:t xml:space="preserve">: </w:t>
                            </w:r>
                            <w:r w:rsidR="008765EE" w:rsidRPr="008765EE">
                              <w:rPr>
                                <w:rFonts w:asciiTheme="minorHAnsi" w:hAnsiTheme="minorHAnsi" w:cstheme="minorHAnsi"/>
                              </w:rPr>
                              <w:t xml:space="preserve">Conduct that is intended to convey a </w:t>
                            </w:r>
                            <w:r w:rsidR="008765EE" w:rsidRPr="008765EE">
                              <w:rPr>
                                <w:rFonts w:asciiTheme="minorHAnsi" w:hAnsiTheme="minorHAnsi" w:cstheme="minorHAnsi"/>
                              </w:rPr>
                              <w:t>message</w:t>
                            </w:r>
                            <w:r w:rsidR="008765EE" w:rsidRPr="008765EE">
                              <w:rPr>
                                <w:rFonts w:asciiTheme="minorHAnsi" w:hAnsiTheme="minorHAnsi" w:cstheme="minorHAnsi"/>
                              </w:rPr>
                              <w:t xml:space="preserve"> which is likely to be understood by those viewing it</w:t>
                            </w:r>
                          </w:p>
                          <w:p w14:paraId="1E80B68E" w14:textId="77777777" w:rsidR="001034AE" w:rsidRDefault="001034AE" w:rsidP="001034AE">
                            <w:pPr>
                              <w:rPr>
                                <w:rFonts w:asciiTheme="minorHAnsi" w:hAnsiTheme="minorHAnsi" w:cstheme="minorHAnsi"/>
                              </w:rPr>
                            </w:pPr>
                          </w:p>
                          <w:p w14:paraId="4AE81EC2" w14:textId="50621103" w:rsidR="001034AE" w:rsidRDefault="007749D7" w:rsidP="001034AE">
                            <w:pPr>
                              <w:rPr>
                                <w:rFonts w:asciiTheme="minorHAnsi" w:hAnsiTheme="minorHAnsi" w:cstheme="minorHAnsi"/>
                              </w:rPr>
                            </w:pPr>
                            <w:r w:rsidRPr="00AC7613">
                              <w:rPr>
                                <w:rFonts w:asciiTheme="minorHAnsi" w:hAnsiTheme="minorHAnsi" w:cstheme="minorHAnsi"/>
                                <w:b/>
                                <w:bCs/>
                                <w:highlight w:val="yellow"/>
                              </w:rPr>
                              <w:t>14</w:t>
                            </w:r>
                            <w:r w:rsidRPr="00AC7613">
                              <w:rPr>
                                <w:rFonts w:asciiTheme="minorHAnsi" w:hAnsiTheme="minorHAnsi" w:cstheme="minorHAnsi"/>
                                <w:b/>
                                <w:bCs/>
                                <w:highlight w:val="yellow"/>
                                <w:vertAlign w:val="superscript"/>
                              </w:rPr>
                              <w:t>th</w:t>
                            </w:r>
                            <w:r w:rsidRPr="00AC7613">
                              <w:rPr>
                                <w:rFonts w:asciiTheme="minorHAnsi" w:hAnsiTheme="minorHAnsi" w:cstheme="minorHAnsi"/>
                                <w:b/>
                                <w:bCs/>
                                <w:highlight w:val="yellow"/>
                              </w:rPr>
                              <w:t xml:space="preserve"> Amendment</w:t>
                            </w:r>
                            <w:r w:rsidR="001034AE">
                              <w:rPr>
                                <w:rFonts w:asciiTheme="minorHAnsi" w:hAnsiTheme="minorHAnsi" w:cstheme="minorHAnsi"/>
                              </w:rPr>
                              <w:t xml:space="preserve">: </w:t>
                            </w:r>
                            <w:r w:rsidR="00996923">
                              <w:rPr>
                                <w:rFonts w:asciiTheme="minorHAnsi" w:hAnsiTheme="minorHAnsi" w:cstheme="minorHAnsi"/>
                              </w:rPr>
                              <w:t xml:space="preserve">Passed in 1868; defines citizenship and extends due process </w:t>
                            </w:r>
                            <w:r w:rsidR="00AC7613">
                              <w:rPr>
                                <w:rFonts w:asciiTheme="minorHAnsi" w:hAnsiTheme="minorHAnsi" w:cstheme="minorHAnsi"/>
                              </w:rPr>
                              <w:t>to state actions.</w:t>
                            </w:r>
                          </w:p>
                          <w:p w14:paraId="45F0C2A8" w14:textId="77777777" w:rsidR="001034AE" w:rsidRDefault="001034AE" w:rsidP="001034AE">
                            <w:pPr>
                              <w:rPr>
                                <w:rFonts w:asciiTheme="minorHAnsi" w:hAnsiTheme="minorHAnsi" w:cstheme="minorHAnsi"/>
                              </w:rPr>
                            </w:pPr>
                          </w:p>
                          <w:p w14:paraId="4BA624CE" w14:textId="49F94292" w:rsidR="00AA41F2" w:rsidRDefault="00AA41F2" w:rsidP="00AA41F2">
                            <w:pPr>
                              <w:rPr>
                                <w:rFonts w:asciiTheme="minorHAnsi" w:hAnsiTheme="minorHAnsi" w:cstheme="minorHAnsi"/>
                              </w:rPr>
                            </w:pPr>
                            <w:r w:rsidRPr="00AA41F2">
                              <w:rPr>
                                <w:rFonts w:asciiTheme="minorHAnsi" w:hAnsiTheme="minorHAnsi" w:cstheme="minorHAnsi"/>
                                <w:b/>
                                <w:bCs/>
                                <w:highlight w:val="yellow"/>
                              </w:rPr>
                              <w:t>Supreme Court</w:t>
                            </w:r>
                            <w:r w:rsidR="001034AE">
                              <w:rPr>
                                <w:rFonts w:asciiTheme="minorHAnsi" w:hAnsiTheme="minorHAnsi" w:cstheme="minorHAnsi"/>
                              </w:rPr>
                              <w:t xml:space="preserve">: </w:t>
                            </w:r>
                            <w:r>
                              <w:rPr>
                                <w:rFonts w:asciiTheme="minorHAnsi" w:hAnsiTheme="minorHAnsi" w:cstheme="minorHAnsi"/>
                              </w:rPr>
                              <w:t>The highest court in the United States, containing 9 justices; its rulings are final and cannot be appealed.</w:t>
                            </w:r>
                          </w:p>
                          <w:p w14:paraId="7A7BC91B" w14:textId="79DF0A7D" w:rsidR="00042789" w:rsidRDefault="00042789" w:rsidP="00AA41F2">
                            <w:pPr>
                              <w:rPr>
                                <w:rFonts w:asciiTheme="minorHAnsi" w:hAnsiTheme="minorHAnsi" w:cstheme="minorHAnsi"/>
                              </w:rPr>
                            </w:pPr>
                          </w:p>
                          <w:p w14:paraId="7CA25D02" w14:textId="34DA4A28" w:rsidR="00042789" w:rsidRPr="009840A2" w:rsidRDefault="00042789" w:rsidP="00AA41F2">
                            <w:pPr>
                              <w:rPr>
                                <w:rFonts w:asciiTheme="minorHAnsi" w:hAnsiTheme="minorHAnsi" w:cstheme="minorHAnsi"/>
                              </w:rPr>
                            </w:pPr>
                            <w:r w:rsidRPr="00B76617">
                              <w:rPr>
                                <w:rFonts w:asciiTheme="minorHAnsi" w:hAnsiTheme="minorHAnsi" w:cstheme="minorHAnsi"/>
                                <w:b/>
                                <w:bCs/>
                                <w:highlight w:val="yellow"/>
                              </w:rPr>
                              <w:t>Constitutional</w:t>
                            </w:r>
                            <w:r>
                              <w:rPr>
                                <w:rFonts w:asciiTheme="minorHAnsi" w:hAnsiTheme="minorHAnsi" w:cstheme="minorHAnsi"/>
                              </w:rPr>
                              <w:t xml:space="preserve">: </w:t>
                            </w:r>
                            <w:r w:rsidR="00B76617">
                              <w:rPr>
                                <w:rFonts w:asciiTheme="minorHAnsi" w:hAnsiTheme="minorHAnsi" w:cstheme="minorHAnsi"/>
                              </w:rPr>
                              <w:t>In agreement with the principals of the Constitution.</w:t>
                            </w:r>
                          </w:p>
                          <w:p w14:paraId="60539D8C" w14:textId="710771AC" w:rsidR="001034AE" w:rsidRPr="009840A2" w:rsidRDefault="001034AE" w:rsidP="001034AE">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D3C8D" id="_x0000_s1027" type="#_x0000_t202" style="position:absolute;margin-left:191.8pt;margin-top:.6pt;width:243pt;height:292.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" fillcolor="#fff2cc [663]" strokecolor="#bf8f00 [2407]" strokeweight="1.5pt">
                <v:textbox>
                  <w:txbxContent>
                    <w:p w14:paraId="4264284C" w14:textId="77777777" w:rsidR="001034AE" w:rsidRPr="0034324A" w:rsidRDefault="001034AE" w:rsidP="001034AE">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176AB98A" w14:textId="77777777" w:rsidR="001034AE" w:rsidRDefault="001034AE" w:rsidP="001034AE">
                      <w:pPr>
                        <w:rPr>
                          <w:rFonts w:asciiTheme="minorHAnsi" w:hAnsiTheme="minorHAnsi" w:cstheme="minorHAnsi"/>
                          <w:b/>
                          <w:bCs/>
                          <w:highlight w:val="yellow"/>
                        </w:rPr>
                      </w:pPr>
                    </w:p>
                    <w:p w14:paraId="745C9302" w14:textId="40268CC3" w:rsidR="001034AE" w:rsidRDefault="001034AE" w:rsidP="001034AE">
                      <w:pPr>
                        <w:rPr>
                          <w:rFonts w:asciiTheme="minorHAnsi" w:hAnsiTheme="minorHAnsi" w:cstheme="minorHAnsi"/>
                        </w:rPr>
                      </w:pPr>
                      <w:r w:rsidRPr="00AC7613">
                        <w:rPr>
                          <w:rFonts w:asciiTheme="minorHAnsi" w:hAnsiTheme="minorHAnsi" w:cstheme="minorHAnsi"/>
                          <w:b/>
                          <w:bCs/>
                          <w:highlight w:val="yellow"/>
                        </w:rPr>
                        <w:t>Symbolic Speech</w:t>
                      </w:r>
                      <w:r w:rsidRPr="009840A2">
                        <w:rPr>
                          <w:rFonts w:asciiTheme="minorHAnsi" w:hAnsiTheme="minorHAnsi" w:cstheme="minorHAnsi"/>
                        </w:rPr>
                        <w:t xml:space="preserve">: </w:t>
                      </w:r>
                      <w:r w:rsidR="008765EE" w:rsidRPr="008765EE">
                        <w:rPr>
                          <w:rFonts w:asciiTheme="minorHAnsi" w:hAnsiTheme="minorHAnsi" w:cstheme="minorHAnsi"/>
                        </w:rPr>
                        <w:t xml:space="preserve">Conduct that is intended to convey a </w:t>
                      </w:r>
                      <w:r w:rsidR="008765EE" w:rsidRPr="008765EE">
                        <w:rPr>
                          <w:rFonts w:asciiTheme="minorHAnsi" w:hAnsiTheme="minorHAnsi" w:cstheme="minorHAnsi"/>
                        </w:rPr>
                        <w:t>message</w:t>
                      </w:r>
                      <w:r w:rsidR="008765EE" w:rsidRPr="008765EE">
                        <w:rPr>
                          <w:rFonts w:asciiTheme="minorHAnsi" w:hAnsiTheme="minorHAnsi" w:cstheme="minorHAnsi"/>
                        </w:rPr>
                        <w:t xml:space="preserve"> which is likely to be understood by those viewing it</w:t>
                      </w:r>
                    </w:p>
                    <w:p w14:paraId="1E80B68E" w14:textId="77777777" w:rsidR="001034AE" w:rsidRDefault="001034AE" w:rsidP="001034AE">
                      <w:pPr>
                        <w:rPr>
                          <w:rFonts w:asciiTheme="minorHAnsi" w:hAnsiTheme="minorHAnsi" w:cstheme="minorHAnsi"/>
                        </w:rPr>
                      </w:pPr>
                    </w:p>
                    <w:p w14:paraId="4AE81EC2" w14:textId="50621103" w:rsidR="001034AE" w:rsidRDefault="007749D7" w:rsidP="001034AE">
                      <w:pPr>
                        <w:rPr>
                          <w:rFonts w:asciiTheme="minorHAnsi" w:hAnsiTheme="minorHAnsi" w:cstheme="minorHAnsi"/>
                        </w:rPr>
                      </w:pPr>
                      <w:r w:rsidRPr="00AC7613">
                        <w:rPr>
                          <w:rFonts w:asciiTheme="minorHAnsi" w:hAnsiTheme="minorHAnsi" w:cstheme="minorHAnsi"/>
                          <w:b/>
                          <w:bCs/>
                          <w:highlight w:val="yellow"/>
                        </w:rPr>
                        <w:t>14</w:t>
                      </w:r>
                      <w:r w:rsidRPr="00AC7613">
                        <w:rPr>
                          <w:rFonts w:asciiTheme="minorHAnsi" w:hAnsiTheme="minorHAnsi" w:cstheme="minorHAnsi"/>
                          <w:b/>
                          <w:bCs/>
                          <w:highlight w:val="yellow"/>
                          <w:vertAlign w:val="superscript"/>
                        </w:rPr>
                        <w:t>th</w:t>
                      </w:r>
                      <w:r w:rsidRPr="00AC7613">
                        <w:rPr>
                          <w:rFonts w:asciiTheme="minorHAnsi" w:hAnsiTheme="minorHAnsi" w:cstheme="minorHAnsi"/>
                          <w:b/>
                          <w:bCs/>
                          <w:highlight w:val="yellow"/>
                        </w:rPr>
                        <w:t xml:space="preserve"> Amendment</w:t>
                      </w:r>
                      <w:r w:rsidR="001034AE">
                        <w:rPr>
                          <w:rFonts w:asciiTheme="minorHAnsi" w:hAnsiTheme="minorHAnsi" w:cstheme="minorHAnsi"/>
                        </w:rPr>
                        <w:t xml:space="preserve">: </w:t>
                      </w:r>
                      <w:r w:rsidR="00996923">
                        <w:rPr>
                          <w:rFonts w:asciiTheme="minorHAnsi" w:hAnsiTheme="minorHAnsi" w:cstheme="minorHAnsi"/>
                        </w:rPr>
                        <w:t xml:space="preserve">Passed in 1868; defines citizenship and extends due process </w:t>
                      </w:r>
                      <w:r w:rsidR="00AC7613">
                        <w:rPr>
                          <w:rFonts w:asciiTheme="minorHAnsi" w:hAnsiTheme="minorHAnsi" w:cstheme="minorHAnsi"/>
                        </w:rPr>
                        <w:t>to state actions.</w:t>
                      </w:r>
                    </w:p>
                    <w:p w14:paraId="45F0C2A8" w14:textId="77777777" w:rsidR="001034AE" w:rsidRDefault="001034AE" w:rsidP="001034AE">
                      <w:pPr>
                        <w:rPr>
                          <w:rFonts w:asciiTheme="minorHAnsi" w:hAnsiTheme="minorHAnsi" w:cstheme="minorHAnsi"/>
                        </w:rPr>
                      </w:pPr>
                    </w:p>
                    <w:p w14:paraId="4BA624CE" w14:textId="49F94292" w:rsidR="00AA41F2" w:rsidRDefault="00AA41F2" w:rsidP="00AA41F2">
                      <w:pPr>
                        <w:rPr>
                          <w:rFonts w:asciiTheme="minorHAnsi" w:hAnsiTheme="minorHAnsi" w:cstheme="minorHAnsi"/>
                        </w:rPr>
                      </w:pPr>
                      <w:r w:rsidRPr="00AA41F2">
                        <w:rPr>
                          <w:rFonts w:asciiTheme="minorHAnsi" w:hAnsiTheme="minorHAnsi" w:cstheme="minorHAnsi"/>
                          <w:b/>
                          <w:bCs/>
                          <w:highlight w:val="yellow"/>
                        </w:rPr>
                        <w:t>Supreme Court</w:t>
                      </w:r>
                      <w:r w:rsidR="001034AE">
                        <w:rPr>
                          <w:rFonts w:asciiTheme="minorHAnsi" w:hAnsiTheme="minorHAnsi" w:cstheme="minorHAnsi"/>
                        </w:rPr>
                        <w:t xml:space="preserve">: </w:t>
                      </w:r>
                      <w:r>
                        <w:rPr>
                          <w:rFonts w:asciiTheme="minorHAnsi" w:hAnsiTheme="minorHAnsi" w:cstheme="minorHAnsi"/>
                        </w:rPr>
                        <w:t>The highest court in the United States, containing 9 justices; its rulings are final and cannot be appealed.</w:t>
                      </w:r>
                    </w:p>
                    <w:p w14:paraId="7A7BC91B" w14:textId="79DF0A7D" w:rsidR="00042789" w:rsidRDefault="00042789" w:rsidP="00AA41F2">
                      <w:pPr>
                        <w:rPr>
                          <w:rFonts w:asciiTheme="minorHAnsi" w:hAnsiTheme="minorHAnsi" w:cstheme="minorHAnsi"/>
                        </w:rPr>
                      </w:pPr>
                    </w:p>
                    <w:p w14:paraId="7CA25D02" w14:textId="34DA4A28" w:rsidR="00042789" w:rsidRPr="009840A2" w:rsidRDefault="00042789" w:rsidP="00AA41F2">
                      <w:pPr>
                        <w:rPr>
                          <w:rFonts w:asciiTheme="minorHAnsi" w:hAnsiTheme="minorHAnsi" w:cstheme="minorHAnsi"/>
                        </w:rPr>
                      </w:pPr>
                      <w:r w:rsidRPr="00B76617">
                        <w:rPr>
                          <w:rFonts w:asciiTheme="minorHAnsi" w:hAnsiTheme="minorHAnsi" w:cstheme="minorHAnsi"/>
                          <w:b/>
                          <w:bCs/>
                          <w:highlight w:val="yellow"/>
                        </w:rPr>
                        <w:t>Constitutional</w:t>
                      </w:r>
                      <w:r>
                        <w:rPr>
                          <w:rFonts w:asciiTheme="minorHAnsi" w:hAnsiTheme="minorHAnsi" w:cstheme="minorHAnsi"/>
                        </w:rPr>
                        <w:t xml:space="preserve">: </w:t>
                      </w:r>
                      <w:r w:rsidR="00B76617">
                        <w:rPr>
                          <w:rFonts w:asciiTheme="minorHAnsi" w:hAnsiTheme="minorHAnsi" w:cstheme="minorHAnsi"/>
                        </w:rPr>
                        <w:t>In agreement with the principals of the Constitution.</w:t>
                      </w:r>
                    </w:p>
                    <w:p w14:paraId="60539D8C" w14:textId="710771AC" w:rsidR="001034AE" w:rsidRPr="009840A2" w:rsidRDefault="001034AE" w:rsidP="001034AE">
                      <w:pPr>
                        <w:rPr>
                          <w:rFonts w:asciiTheme="minorHAnsi" w:hAnsiTheme="minorHAnsi" w:cstheme="minorHAnsi"/>
                        </w:rPr>
                      </w:pPr>
                    </w:p>
                  </w:txbxContent>
                </v:textbox>
                <w10:wrap type="square" anchorx="margin"/>
              </v:shape>
            </w:pict>
          </mc:Fallback>
        </mc:AlternateContent>
      </w:r>
      <w:r w:rsidR="00F1514F" w:rsidRPr="00EC6428">
        <w:rPr>
          <w:rFonts w:eastAsia="Times New Roman" w:cs="Times New Roman"/>
          <w:szCs w:val="24"/>
        </w:rPr>
        <w:t xml:space="preserve">The case came down to this fundamental question: Do the First Amendment rights of free speech extend to </w:t>
      </w:r>
      <w:r w:rsidR="00F1514F" w:rsidRPr="001034AE">
        <w:rPr>
          <w:rFonts w:eastAsia="Times New Roman" w:cs="Times New Roman"/>
          <w:b/>
          <w:bCs/>
          <w:szCs w:val="24"/>
          <w:highlight w:val="yellow"/>
          <w:u w:val="single"/>
        </w:rPr>
        <w:t>symbolic speech</w:t>
      </w:r>
      <w:r w:rsidR="00F1514F" w:rsidRPr="00EC6428">
        <w:rPr>
          <w:rFonts w:eastAsia="Times New Roman" w:cs="Times New Roman"/>
          <w:szCs w:val="24"/>
        </w:rPr>
        <w:t xml:space="preserve"> by students in public schools? And, if so, in what circumstances is that symbolic speech protected? The First Amendment states "Congress shall make no law . . . abridging the freedom of speech." The </w:t>
      </w:r>
      <w:r w:rsidR="00F1514F" w:rsidRPr="007749D7">
        <w:rPr>
          <w:rFonts w:eastAsia="Times New Roman" w:cs="Times New Roman"/>
          <w:b/>
          <w:bCs/>
          <w:szCs w:val="24"/>
          <w:highlight w:val="yellow"/>
        </w:rPr>
        <w:t>14th Amendment</w:t>
      </w:r>
      <w:r w:rsidR="00F1514F" w:rsidRPr="00EC6428">
        <w:rPr>
          <w:rFonts w:eastAsia="Times New Roman" w:cs="Times New Roman"/>
          <w:szCs w:val="24"/>
        </w:rPr>
        <w:t xml:space="preserve"> extends this rule to state governments as well, of which school systems are a part. The First Amendment, however, does not identify which kinds of speech are protected. For example, it is not clear whether hate speech against an individual or group is protected. Neither does the First Amendment specify what types of expressive actions should be considered as speech.</w:t>
      </w:r>
    </w:p>
    <w:p w14:paraId="17091863" w14:textId="77777777" w:rsidR="00F1514F" w:rsidRPr="00EC6428" w:rsidRDefault="00F1514F" w:rsidP="00F1514F">
      <w:pPr>
        <w:pStyle w:val="Body115"/>
        <w:rPr>
          <w:rFonts w:eastAsia="Times New Roman" w:cs="Times New Roman"/>
          <w:szCs w:val="24"/>
        </w:rPr>
      </w:pPr>
    </w:p>
    <w:p w14:paraId="6B1F0391" w14:textId="71E41F52" w:rsidR="00EC6428" w:rsidRPr="00EC6428" w:rsidRDefault="00F1514F" w:rsidP="00620A2E">
      <w:pPr>
        <w:pStyle w:val="Body115"/>
        <w:rPr>
          <w:rFonts w:eastAsia="Times New Roman" w:cs="Times New Roman"/>
          <w:color w:val="000000"/>
          <w:szCs w:val="24"/>
        </w:rPr>
      </w:pPr>
      <w:r w:rsidRPr="00EC6428">
        <w:rPr>
          <w:rFonts w:eastAsia="Times New Roman" w:cs="Times New Roman"/>
          <w:szCs w:val="24"/>
        </w:rPr>
        <w:t xml:space="preserve">The </w:t>
      </w:r>
      <w:r w:rsidRPr="00AA41F2">
        <w:rPr>
          <w:rFonts w:eastAsia="Times New Roman" w:cs="Times New Roman"/>
          <w:b/>
          <w:bCs/>
          <w:szCs w:val="24"/>
          <w:highlight w:val="yellow"/>
        </w:rPr>
        <w:t>Supreme Court of the United States</w:t>
      </w:r>
      <w:r w:rsidRPr="00EC6428">
        <w:rPr>
          <w:rFonts w:eastAsia="Times New Roman" w:cs="Times New Roman"/>
          <w:szCs w:val="24"/>
        </w:rPr>
        <w:t xml:space="preserve"> has made many attempts to determine what types of symbolic speech are protected under the First Amendment. In 1919, the Court decided in </w:t>
      </w:r>
      <w:r w:rsidRPr="00EC6428">
        <w:rPr>
          <w:rFonts w:eastAsia="Times New Roman" w:cs="Times New Roman"/>
          <w:i/>
          <w:iCs/>
          <w:szCs w:val="24"/>
        </w:rPr>
        <w:t>Schenck v. United States </w:t>
      </w:r>
      <w:r w:rsidRPr="00EC6428">
        <w:rPr>
          <w:rFonts w:eastAsia="Times New Roman" w:cs="Times New Roman"/>
          <w:szCs w:val="24"/>
        </w:rPr>
        <w:t>that an individual could be punished for distributing anti-World War I pamphlets urging non-compliance with the draft because the pamphlets "create[ed] a clear and present danger that they will bring about [a] substantive evil[ . . .] Congress has a right to prevent"—draft obstruction. The Court wrestled with the issue of the right to symbolic speech again in the case of </w:t>
      </w:r>
      <w:r w:rsidRPr="00EC6428">
        <w:rPr>
          <w:rFonts w:eastAsia="Times New Roman" w:cs="Times New Roman"/>
          <w:i/>
          <w:iCs/>
          <w:szCs w:val="24"/>
        </w:rPr>
        <w:t>Thornhill v. Alabama </w:t>
      </w:r>
      <w:r w:rsidRPr="00EC6428">
        <w:rPr>
          <w:rFonts w:eastAsia="Times New Roman" w:cs="Times New Roman"/>
          <w:szCs w:val="24"/>
        </w:rPr>
        <w:t>(1940) when the Court ruled that picketing was a form of symbolic speech protected by the First Amendment because no clear and present danger of destruction of life or property or of breach of the peace was inherent in the action. Three years later in </w:t>
      </w:r>
      <w:r w:rsidRPr="00EC6428">
        <w:rPr>
          <w:rFonts w:eastAsia="Times New Roman" w:cs="Times New Roman"/>
          <w:i/>
          <w:iCs/>
          <w:szCs w:val="24"/>
        </w:rPr>
        <w:t>West Virginia v. Barnette </w:t>
      </w:r>
      <w:r w:rsidRPr="00EC6428">
        <w:rPr>
          <w:rFonts w:eastAsia="Times New Roman" w:cs="Times New Roman"/>
          <w:szCs w:val="24"/>
        </w:rPr>
        <w:t xml:space="preserve">(1943), the Court extended the First Amendment protection of symbolic speech to students in public schools. In 1968 the Supreme Court of the United States agreed to hear Tinker's case and consider the </w:t>
      </w:r>
      <w:r w:rsidRPr="00042789">
        <w:rPr>
          <w:rFonts w:eastAsia="Times New Roman" w:cs="Times New Roman"/>
          <w:b/>
          <w:bCs/>
          <w:szCs w:val="24"/>
          <w:highlight w:val="yellow"/>
        </w:rPr>
        <w:t>constitutionality</w:t>
      </w:r>
      <w:r w:rsidRPr="00EC6428">
        <w:rPr>
          <w:rFonts w:eastAsia="Times New Roman" w:cs="Times New Roman"/>
          <w:szCs w:val="24"/>
        </w:rPr>
        <w:t xml:space="preserve"> of the Des Moines principals' anti-armband policy. The Court's decision in </w:t>
      </w:r>
      <w:r w:rsidRPr="00EC6428">
        <w:rPr>
          <w:rFonts w:eastAsia="Times New Roman" w:cs="Times New Roman"/>
          <w:i/>
          <w:iCs/>
          <w:szCs w:val="24"/>
        </w:rPr>
        <w:t>Tinker v. Des Moines </w:t>
      </w:r>
      <w:r w:rsidRPr="00EC6428">
        <w:rPr>
          <w:rFonts w:eastAsia="Times New Roman" w:cs="Times New Roman"/>
          <w:szCs w:val="24"/>
        </w:rPr>
        <w:t>was handed down in 1969</w:t>
      </w:r>
      <w:r w:rsidR="00D20DA4">
        <w:rPr>
          <w:rFonts w:eastAsia="Times New Roman" w:cs="Times New Roman"/>
          <w:szCs w:val="24"/>
        </w:rPr>
        <w:t xml:space="preserve">, and in a 7-2 decision, the Supreme Court agreed </w:t>
      </w:r>
      <w:r w:rsidR="00620A2E">
        <w:rPr>
          <w:rFonts w:eastAsia="Times New Roman" w:cs="Times New Roman"/>
          <w:szCs w:val="24"/>
        </w:rPr>
        <w:t>with Tinker and protected the rights of students to express themselves in school</w:t>
      </w:r>
      <w:r w:rsidRPr="00EC6428">
        <w:rPr>
          <w:rFonts w:eastAsia="Times New Roman" w:cs="Times New Roman"/>
          <w:szCs w:val="24"/>
        </w:rPr>
        <w:t>.</w:t>
      </w:r>
      <w:r w:rsidR="00D20DA4">
        <w:rPr>
          <w:rFonts w:eastAsia="Times New Roman" w:cs="Times New Roman"/>
          <w:color w:val="000000"/>
          <w:szCs w:val="24"/>
        </w:rPr>
        <w:t xml:space="preserve"> </w:t>
      </w:r>
    </w:p>
    <w:sectPr w:rsidR="00EC6428" w:rsidRPr="00EC642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BF47A" w14:textId="77777777" w:rsidR="00C065F2" w:rsidRDefault="00C065F2" w:rsidP="00F1514F">
      <w:pPr>
        <w:spacing w:line="240" w:lineRule="auto"/>
      </w:pPr>
      <w:r>
        <w:separator/>
      </w:r>
    </w:p>
  </w:endnote>
  <w:endnote w:type="continuationSeparator" w:id="0">
    <w:p w14:paraId="5F2644E5" w14:textId="77777777" w:rsidR="00C065F2" w:rsidRDefault="00C065F2" w:rsidP="00F15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EC648" w14:textId="77777777" w:rsidR="00C065F2" w:rsidRDefault="00C065F2" w:rsidP="00F1514F">
      <w:pPr>
        <w:spacing w:line="240" w:lineRule="auto"/>
      </w:pPr>
      <w:r>
        <w:separator/>
      </w:r>
    </w:p>
  </w:footnote>
  <w:footnote w:type="continuationSeparator" w:id="0">
    <w:p w14:paraId="0B6470EA" w14:textId="77777777" w:rsidR="00C065F2" w:rsidRDefault="00C065F2" w:rsidP="00F151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18B7" w14:textId="77777777" w:rsidR="00F1514F" w:rsidRDefault="00F1514F">
    <w:pPr>
      <w:pStyle w:val="Header"/>
    </w:pPr>
    <w:r>
      <w:t>Name _______________________________</w:t>
    </w:r>
    <w:r>
      <w:tab/>
      <w:t>____   Date ______________    Period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E4BD2"/>
    <w:multiLevelType w:val="hybridMultilevel"/>
    <w:tmpl w:val="E0F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F0A59"/>
    <w:multiLevelType w:val="hybridMultilevel"/>
    <w:tmpl w:val="6CC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E6E33"/>
    <w:multiLevelType w:val="multilevel"/>
    <w:tmpl w:val="CF7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53E40"/>
    <w:multiLevelType w:val="multilevel"/>
    <w:tmpl w:val="A1D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16661"/>
    <w:multiLevelType w:val="hybridMultilevel"/>
    <w:tmpl w:val="BC628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333ED"/>
    <w:multiLevelType w:val="multilevel"/>
    <w:tmpl w:val="70AE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4F"/>
    <w:rsid w:val="00042789"/>
    <w:rsid w:val="00097FC7"/>
    <w:rsid w:val="000C13C2"/>
    <w:rsid w:val="000F65C2"/>
    <w:rsid w:val="001034AE"/>
    <w:rsid w:val="0012268A"/>
    <w:rsid w:val="001D4111"/>
    <w:rsid w:val="001F441F"/>
    <w:rsid w:val="002277D2"/>
    <w:rsid w:val="0023062F"/>
    <w:rsid w:val="00265AAF"/>
    <w:rsid w:val="00272DAB"/>
    <w:rsid w:val="002740BE"/>
    <w:rsid w:val="002974B2"/>
    <w:rsid w:val="002F4483"/>
    <w:rsid w:val="0030404A"/>
    <w:rsid w:val="00317BCD"/>
    <w:rsid w:val="0034324A"/>
    <w:rsid w:val="003B058F"/>
    <w:rsid w:val="00435309"/>
    <w:rsid w:val="004369D2"/>
    <w:rsid w:val="004744CC"/>
    <w:rsid w:val="004E62A7"/>
    <w:rsid w:val="005462FD"/>
    <w:rsid w:val="005738D9"/>
    <w:rsid w:val="00620A2E"/>
    <w:rsid w:val="0063390C"/>
    <w:rsid w:val="00682F6E"/>
    <w:rsid w:val="006E0786"/>
    <w:rsid w:val="0070071A"/>
    <w:rsid w:val="007749D7"/>
    <w:rsid w:val="008765EE"/>
    <w:rsid w:val="00925455"/>
    <w:rsid w:val="009621EF"/>
    <w:rsid w:val="009840A2"/>
    <w:rsid w:val="00990677"/>
    <w:rsid w:val="00996923"/>
    <w:rsid w:val="00AA41F2"/>
    <w:rsid w:val="00AC7613"/>
    <w:rsid w:val="00B76617"/>
    <w:rsid w:val="00BA4E41"/>
    <w:rsid w:val="00BB5375"/>
    <w:rsid w:val="00C065F2"/>
    <w:rsid w:val="00CF069C"/>
    <w:rsid w:val="00CF79D2"/>
    <w:rsid w:val="00D20DA4"/>
    <w:rsid w:val="00E1357B"/>
    <w:rsid w:val="00EC6428"/>
    <w:rsid w:val="00F1514F"/>
    <w:rsid w:val="00F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185B"/>
  <w15:chartTrackingRefBased/>
  <w15:docId w15:val="{D34DE2BE-86E4-4922-AD37-B96EA181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1">
    <w:name w:val="heading 1"/>
    <w:basedOn w:val="Normal"/>
    <w:link w:val="Heading1Char"/>
    <w:uiPriority w:val="9"/>
    <w:qFormat/>
    <w:rsid w:val="00F1514F"/>
    <w:pPr>
      <w:spacing w:before="100" w:beforeAutospacing="1" w:after="100" w:afterAutospacing="1" w:line="240" w:lineRule="auto"/>
      <w:contextualSpacing w:val="0"/>
      <w:outlineLvl w:val="0"/>
    </w:pPr>
    <w:rPr>
      <w:rFonts w:eastAsia="Times New Roman" w:cs="Times New Roman"/>
      <w:b/>
      <w:bCs/>
      <w:kern w:val="36"/>
      <w:sz w:val="48"/>
      <w:szCs w:val="48"/>
    </w:rPr>
  </w:style>
  <w:style w:type="paragraph" w:styleId="Heading4">
    <w:name w:val="heading 4"/>
    <w:basedOn w:val="Normal"/>
    <w:link w:val="Heading4Char"/>
    <w:uiPriority w:val="9"/>
    <w:qFormat/>
    <w:rsid w:val="00F1514F"/>
    <w:pPr>
      <w:spacing w:before="100" w:beforeAutospacing="1" w:after="100" w:afterAutospacing="1" w:line="240" w:lineRule="auto"/>
      <w:contextualSpacing w:val="0"/>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customStyle="1" w:styleId="Heading1Char">
    <w:name w:val="Heading 1 Char"/>
    <w:basedOn w:val="DefaultParagraphFont"/>
    <w:link w:val="Heading1"/>
    <w:uiPriority w:val="9"/>
    <w:rsid w:val="00F151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51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514F"/>
    <w:pPr>
      <w:spacing w:before="100" w:beforeAutospacing="1" w:after="100" w:afterAutospacing="1" w:line="240" w:lineRule="auto"/>
      <w:contextualSpacing w:val="0"/>
    </w:pPr>
    <w:rPr>
      <w:rFonts w:eastAsia="Times New Roman" w:cs="Times New Roman"/>
      <w:szCs w:val="24"/>
    </w:rPr>
  </w:style>
  <w:style w:type="character" w:styleId="Emphasis">
    <w:name w:val="Emphasis"/>
    <w:basedOn w:val="DefaultParagraphFont"/>
    <w:uiPriority w:val="20"/>
    <w:qFormat/>
    <w:rsid w:val="00F1514F"/>
    <w:rPr>
      <w:i/>
      <w:iCs/>
    </w:rPr>
  </w:style>
  <w:style w:type="paragraph" w:styleId="Header">
    <w:name w:val="header"/>
    <w:basedOn w:val="Normal"/>
    <w:link w:val="HeaderChar"/>
    <w:uiPriority w:val="99"/>
    <w:unhideWhenUsed/>
    <w:rsid w:val="00F1514F"/>
    <w:pPr>
      <w:tabs>
        <w:tab w:val="center" w:pos="4680"/>
        <w:tab w:val="right" w:pos="9360"/>
      </w:tabs>
      <w:spacing w:line="240" w:lineRule="auto"/>
    </w:pPr>
  </w:style>
  <w:style w:type="character" w:customStyle="1" w:styleId="HeaderChar">
    <w:name w:val="Header Char"/>
    <w:basedOn w:val="DefaultParagraphFont"/>
    <w:link w:val="Header"/>
    <w:uiPriority w:val="99"/>
    <w:rsid w:val="00F1514F"/>
    <w:rPr>
      <w:rFonts w:ascii="Times New Roman" w:hAnsi="Times New Roman"/>
      <w:sz w:val="24"/>
    </w:rPr>
  </w:style>
  <w:style w:type="paragraph" w:styleId="Footer">
    <w:name w:val="footer"/>
    <w:basedOn w:val="Normal"/>
    <w:link w:val="FooterChar"/>
    <w:uiPriority w:val="99"/>
    <w:unhideWhenUsed/>
    <w:rsid w:val="00F1514F"/>
    <w:pPr>
      <w:tabs>
        <w:tab w:val="center" w:pos="4680"/>
        <w:tab w:val="right" w:pos="9360"/>
      </w:tabs>
      <w:spacing w:line="240" w:lineRule="auto"/>
    </w:pPr>
  </w:style>
  <w:style w:type="character" w:customStyle="1" w:styleId="FooterChar">
    <w:name w:val="Footer Char"/>
    <w:basedOn w:val="DefaultParagraphFont"/>
    <w:link w:val="Footer"/>
    <w:uiPriority w:val="99"/>
    <w:rsid w:val="00F1514F"/>
    <w:rPr>
      <w:rFonts w:ascii="Times New Roman" w:hAnsi="Times New Roman"/>
      <w:sz w:val="24"/>
    </w:rPr>
  </w:style>
  <w:style w:type="paragraph" w:styleId="ListParagraph">
    <w:name w:val="List Paragraph"/>
    <w:basedOn w:val="Normal"/>
    <w:uiPriority w:val="34"/>
    <w:qFormat/>
    <w:rsid w:val="009621EF"/>
    <w:pPr>
      <w:ind w:left="720"/>
    </w:pPr>
  </w:style>
  <w:style w:type="character" w:styleId="CommentReference">
    <w:name w:val="annotation reference"/>
    <w:basedOn w:val="DefaultParagraphFont"/>
    <w:uiPriority w:val="99"/>
    <w:semiHidden/>
    <w:unhideWhenUsed/>
    <w:rsid w:val="002974B2"/>
    <w:rPr>
      <w:sz w:val="16"/>
      <w:szCs w:val="16"/>
    </w:rPr>
  </w:style>
  <w:style w:type="paragraph" w:styleId="CommentText">
    <w:name w:val="annotation text"/>
    <w:basedOn w:val="Normal"/>
    <w:link w:val="CommentTextChar"/>
    <w:uiPriority w:val="99"/>
    <w:semiHidden/>
    <w:unhideWhenUsed/>
    <w:rsid w:val="002974B2"/>
    <w:pPr>
      <w:spacing w:line="240" w:lineRule="auto"/>
    </w:pPr>
    <w:rPr>
      <w:sz w:val="20"/>
      <w:szCs w:val="20"/>
    </w:rPr>
  </w:style>
  <w:style w:type="character" w:customStyle="1" w:styleId="CommentTextChar">
    <w:name w:val="Comment Text Char"/>
    <w:basedOn w:val="DefaultParagraphFont"/>
    <w:link w:val="CommentText"/>
    <w:uiPriority w:val="99"/>
    <w:semiHidden/>
    <w:rsid w:val="002974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4B2"/>
    <w:rPr>
      <w:b/>
      <w:bCs/>
    </w:rPr>
  </w:style>
  <w:style w:type="character" w:customStyle="1" w:styleId="CommentSubjectChar">
    <w:name w:val="Comment Subject Char"/>
    <w:basedOn w:val="CommentTextChar"/>
    <w:link w:val="CommentSubject"/>
    <w:uiPriority w:val="99"/>
    <w:semiHidden/>
    <w:rsid w:val="002974B2"/>
    <w:rPr>
      <w:rFonts w:ascii="Times New Roman" w:hAnsi="Times New Roman"/>
      <w:b/>
      <w:bCs/>
      <w:sz w:val="20"/>
      <w:szCs w:val="20"/>
    </w:rPr>
  </w:style>
  <w:style w:type="paragraph" w:styleId="BalloonText">
    <w:name w:val="Balloon Text"/>
    <w:basedOn w:val="Normal"/>
    <w:link w:val="BalloonTextChar"/>
    <w:uiPriority w:val="99"/>
    <w:semiHidden/>
    <w:unhideWhenUsed/>
    <w:rsid w:val="002974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4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0206">
      <w:bodyDiv w:val="1"/>
      <w:marLeft w:val="0"/>
      <w:marRight w:val="0"/>
      <w:marTop w:val="0"/>
      <w:marBottom w:val="0"/>
      <w:divBdr>
        <w:top w:val="none" w:sz="0" w:space="0" w:color="auto"/>
        <w:left w:val="none" w:sz="0" w:space="0" w:color="auto"/>
        <w:bottom w:val="none" w:sz="0" w:space="0" w:color="auto"/>
        <w:right w:val="none" w:sz="0" w:space="0" w:color="auto"/>
      </w:divBdr>
      <w:divsChild>
        <w:div w:id="2136872567">
          <w:marLeft w:val="0"/>
          <w:marRight w:val="0"/>
          <w:marTop w:val="0"/>
          <w:marBottom w:val="0"/>
          <w:divBdr>
            <w:top w:val="none" w:sz="0" w:space="0" w:color="auto"/>
            <w:left w:val="none" w:sz="0" w:space="0" w:color="auto"/>
            <w:bottom w:val="none" w:sz="0" w:space="0" w:color="auto"/>
            <w:right w:val="none" w:sz="0" w:space="0" w:color="auto"/>
          </w:divBdr>
          <w:divsChild>
            <w:div w:id="765151607">
              <w:marLeft w:val="-225"/>
              <w:marRight w:val="-225"/>
              <w:marTop w:val="0"/>
              <w:marBottom w:val="0"/>
              <w:divBdr>
                <w:top w:val="none" w:sz="0" w:space="0" w:color="auto"/>
                <w:left w:val="none" w:sz="0" w:space="0" w:color="auto"/>
                <w:bottom w:val="none" w:sz="0" w:space="0" w:color="auto"/>
                <w:right w:val="none" w:sz="0" w:space="0" w:color="auto"/>
              </w:divBdr>
              <w:divsChild>
                <w:div w:id="25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713">
          <w:marLeft w:val="0"/>
          <w:marRight w:val="0"/>
          <w:marTop w:val="0"/>
          <w:marBottom w:val="0"/>
          <w:divBdr>
            <w:top w:val="none" w:sz="0" w:space="0" w:color="auto"/>
            <w:left w:val="none" w:sz="0" w:space="0" w:color="auto"/>
            <w:bottom w:val="none" w:sz="0" w:space="0" w:color="auto"/>
            <w:right w:val="none" w:sz="0" w:space="0" w:color="auto"/>
          </w:divBdr>
          <w:divsChild>
            <w:div w:id="1290621816">
              <w:marLeft w:val="-225"/>
              <w:marRight w:val="-225"/>
              <w:marTop w:val="0"/>
              <w:marBottom w:val="0"/>
              <w:divBdr>
                <w:top w:val="none" w:sz="0" w:space="0" w:color="auto"/>
                <w:left w:val="none" w:sz="0" w:space="0" w:color="auto"/>
                <w:bottom w:val="none" w:sz="0" w:space="0" w:color="auto"/>
                <w:right w:val="none" w:sz="0" w:space="0" w:color="auto"/>
              </w:divBdr>
              <w:divsChild>
                <w:div w:id="1362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8693">
      <w:bodyDiv w:val="1"/>
      <w:marLeft w:val="0"/>
      <w:marRight w:val="0"/>
      <w:marTop w:val="0"/>
      <w:marBottom w:val="0"/>
      <w:divBdr>
        <w:top w:val="none" w:sz="0" w:space="0" w:color="auto"/>
        <w:left w:val="none" w:sz="0" w:space="0" w:color="auto"/>
        <w:bottom w:val="none" w:sz="0" w:space="0" w:color="auto"/>
        <w:right w:val="none" w:sz="0" w:space="0" w:color="auto"/>
      </w:divBdr>
    </w:div>
    <w:div w:id="16619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CB9CD-A520-4A33-9343-ABA4E7C3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2020-09-10T17:03:00Z</dcterms:created>
  <dcterms:modified xsi:type="dcterms:W3CDTF">2020-09-10T17:08:00Z</dcterms:modified>
</cp:coreProperties>
</file>