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1866" w14:textId="2E060D7B" w:rsidR="00F1514F" w:rsidRPr="001903AA" w:rsidRDefault="00072247" w:rsidP="001903AA">
      <w:pPr>
        <w:jc w:val="center"/>
        <w:rPr>
          <w:b/>
          <w:u w:val="single"/>
        </w:rPr>
      </w:pPr>
      <w:r w:rsidRPr="001903AA">
        <w:rPr>
          <w:b/>
          <w:u w:val="single"/>
        </w:rPr>
        <w:t>T</w:t>
      </w:r>
      <w:r w:rsidR="00435309" w:rsidRPr="001903AA">
        <w:rPr>
          <w:b/>
          <w:u w:val="single"/>
        </w:rPr>
        <w:t xml:space="preserve">INKER V. DES MOINES: </w:t>
      </w:r>
      <w:r w:rsidR="001903AA" w:rsidRPr="001903AA">
        <w:rPr>
          <w:b/>
          <w:u w:val="single"/>
        </w:rPr>
        <w:t>THE DECISION</w:t>
      </w:r>
    </w:p>
    <w:p w14:paraId="4A8B4291" w14:textId="2AA3220F" w:rsidR="00072247" w:rsidRPr="001903AA" w:rsidRDefault="00072247" w:rsidP="001903AA">
      <w:pPr>
        <w:rPr>
          <w:b/>
        </w:rPr>
      </w:pPr>
      <w:r w:rsidRPr="001903AA">
        <w:rPr>
          <w:b/>
        </w:rPr>
        <w:t xml:space="preserve">Directions: </w:t>
      </w:r>
      <w:r w:rsidR="00827C48" w:rsidRPr="001903AA">
        <w:rPr>
          <w:b/>
        </w:rPr>
        <w:t xml:space="preserve">Read the Tinker v. Des Moines </w:t>
      </w:r>
      <w:r w:rsidR="001903AA" w:rsidRPr="001903AA">
        <w:rPr>
          <w:b/>
        </w:rPr>
        <w:t>majority opinion</w:t>
      </w:r>
      <w:r w:rsidR="00827C48" w:rsidRPr="001903AA">
        <w:rPr>
          <w:b/>
        </w:rPr>
        <w:t xml:space="preserve">.  Then </w:t>
      </w:r>
      <w:r w:rsidRPr="001903AA">
        <w:rPr>
          <w:b/>
        </w:rPr>
        <w:t xml:space="preserve">answer each question </w:t>
      </w:r>
      <w:r w:rsidR="00827C48" w:rsidRPr="001903AA">
        <w:rPr>
          <w:b/>
        </w:rPr>
        <w:t xml:space="preserve">below </w:t>
      </w:r>
      <w:r w:rsidRPr="001903AA">
        <w:rPr>
          <w:b/>
        </w:rPr>
        <w:t>in complete sentences.</w:t>
      </w:r>
    </w:p>
    <w:p w14:paraId="2C3AE0D4" w14:textId="1702F81D" w:rsidR="00072247" w:rsidRDefault="00072247" w:rsidP="001903AA">
      <w:pPr>
        <w:pStyle w:val="Body115"/>
      </w:pPr>
    </w:p>
    <w:p w14:paraId="6BCF0565" w14:textId="67F52AFA" w:rsidR="001903AA" w:rsidRPr="001903AA" w:rsidRDefault="00E04DEB" w:rsidP="001903AA">
      <w:pPr>
        <w:shd w:val="clear" w:color="auto" w:fill="FFFFFF"/>
        <w:spacing w:after="300" w:line="300" w:lineRule="atLeast"/>
        <w:contextualSpacing w:val="0"/>
        <w:rPr>
          <w:rFonts w:ascii="Open Sans" w:eastAsia="Times New Roman" w:hAnsi="Open Sans" w:cs="Times New Roman"/>
          <w:i/>
          <w:color w:val="000000"/>
          <w:sz w:val="23"/>
          <w:szCs w:val="23"/>
        </w:rPr>
      </w:pPr>
      <w:r>
        <w:rPr>
          <w:noProof/>
        </w:rPr>
        <w:drawing>
          <wp:anchor distT="0" distB="0" distL="114300" distR="114300" simplePos="0" relativeHeight="251660288" behindDoc="1" locked="0" layoutInCell="1" allowOverlap="1" wp14:anchorId="24705675" wp14:editId="0E863421">
            <wp:simplePos x="0" y="0"/>
            <wp:positionH relativeFrom="margin">
              <wp:align>left</wp:align>
            </wp:positionH>
            <wp:positionV relativeFrom="paragraph">
              <wp:posOffset>55245</wp:posOffset>
            </wp:positionV>
            <wp:extent cx="1827530" cy="2263140"/>
            <wp:effectExtent l="19050" t="0" r="20320" b="670560"/>
            <wp:wrapSquare wrapText="bothSides"/>
            <wp:docPr id="1" name="Picture 1" descr="Abe Forta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e Forta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866" cy="22789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903AA" w:rsidRPr="001903AA">
        <w:rPr>
          <w:rFonts w:ascii="Open Sans" w:eastAsia="Times New Roman" w:hAnsi="Open Sans" w:cs="Times New Roman"/>
          <w:i/>
          <w:color w:val="000000"/>
          <w:sz w:val="23"/>
          <w:szCs w:val="23"/>
        </w:rPr>
        <w:t>The Court ruled 7 to 2. Justice Fortas</w:t>
      </w:r>
      <w:r w:rsidR="006A3487">
        <w:rPr>
          <w:rFonts w:ascii="Open Sans" w:eastAsia="Times New Roman" w:hAnsi="Open Sans" w:cs="Times New Roman"/>
          <w:i/>
          <w:color w:val="000000"/>
          <w:sz w:val="23"/>
          <w:szCs w:val="23"/>
        </w:rPr>
        <w:t xml:space="preserve"> (photo to the left)</w:t>
      </w:r>
      <w:r w:rsidR="001903AA" w:rsidRPr="001903AA">
        <w:rPr>
          <w:rFonts w:ascii="Open Sans" w:eastAsia="Times New Roman" w:hAnsi="Open Sans" w:cs="Times New Roman"/>
          <w:i/>
          <w:color w:val="000000"/>
          <w:sz w:val="23"/>
          <w:szCs w:val="23"/>
        </w:rPr>
        <w:t xml:space="preserve"> delivered the majority opinion of the Court.</w:t>
      </w:r>
    </w:p>
    <w:p w14:paraId="000EF745" w14:textId="3CBF6990" w:rsidR="001903AA" w:rsidRPr="001903AA" w:rsidRDefault="001903AA" w:rsidP="001903AA">
      <w:pPr>
        <w:shd w:val="clear" w:color="auto" w:fill="FFFFFF"/>
        <w:spacing w:after="300" w:line="300" w:lineRule="atLeast"/>
        <w:contextualSpacing w:val="0"/>
        <w:rPr>
          <w:rFonts w:ascii="Open Sans" w:eastAsia="Times New Roman" w:hAnsi="Open Sans" w:cs="Times New Roman"/>
          <w:i/>
          <w:color w:val="000000"/>
          <w:sz w:val="23"/>
          <w:szCs w:val="23"/>
        </w:rPr>
      </w:pPr>
      <w:r w:rsidRPr="001903AA">
        <w:rPr>
          <w:rFonts w:ascii="Open Sans" w:eastAsia="Times New Roman" w:hAnsi="Open Sans" w:cs="Times New Roman"/>
          <w:i/>
          <w:color w:val="000000"/>
          <w:sz w:val="23"/>
          <w:szCs w:val="23"/>
        </w:rPr>
        <w:t xml:space="preserve">Five justices agreed with the </w:t>
      </w:r>
      <w:r w:rsidRPr="00F92ECF">
        <w:rPr>
          <w:rFonts w:ascii="Open Sans" w:eastAsia="Times New Roman" w:hAnsi="Open Sans" w:cs="Times New Roman"/>
          <w:b/>
          <w:bCs/>
          <w:i/>
          <w:color w:val="000000"/>
          <w:sz w:val="23"/>
          <w:szCs w:val="23"/>
          <w:highlight w:val="yellow"/>
        </w:rPr>
        <w:t>majority opinion</w:t>
      </w:r>
      <w:r w:rsidRPr="001903AA">
        <w:rPr>
          <w:rFonts w:ascii="Open Sans" w:eastAsia="Times New Roman" w:hAnsi="Open Sans" w:cs="Times New Roman"/>
          <w:i/>
          <w:color w:val="000000"/>
          <w:sz w:val="23"/>
          <w:szCs w:val="23"/>
        </w:rPr>
        <w:t xml:space="preserve">. Two justices </w:t>
      </w:r>
      <w:r w:rsidRPr="00F92ECF">
        <w:rPr>
          <w:rFonts w:ascii="Open Sans" w:eastAsia="Times New Roman" w:hAnsi="Open Sans" w:cs="Times New Roman"/>
          <w:b/>
          <w:bCs/>
          <w:i/>
          <w:color w:val="000000"/>
          <w:sz w:val="23"/>
          <w:szCs w:val="23"/>
          <w:highlight w:val="yellow"/>
        </w:rPr>
        <w:t>concurred</w:t>
      </w:r>
      <w:r w:rsidRPr="001903AA">
        <w:rPr>
          <w:rFonts w:ascii="Open Sans" w:eastAsia="Times New Roman" w:hAnsi="Open Sans" w:cs="Times New Roman"/>
          <w:i/>
          <w:color w:val="000000"/>
          <w:sz w:val="23"/>
          <w:szCs w:val="23"/>
        </w:rPr>
        <w:t xml:space="preserve">, meaning that they agreed with the Court's decision that the school policy was </w:t>
      </w:r>
      <w:r w:rsidRPr="00F92ECF">
        <w:rPr>
          <w:rFonts w:ascii="Open Sans" w:eastAsia="Times New Roman" w:hAnsi="Open Sans" w:cs="Times New Roman"/>
          <w:b/>
          <w:bCs/>
          <w:i/>
          <w:color w:val="000000"/>
          <w:sz w:val="23"/>
          <w:szCs w:val="23"/>
          <w:highlight w:val="yellow"/>
        </w:rPr>
        <w:t>unconstitutional</w:t>
      </w:r>
      <w:r w:rsidRPr="001903AA">
        <w:rPr>
          <w:rFonts w:ascii="Open Sans" w:eastAsia="Times New Roman" w:hAnsi="Open Sans" w:cs="Times New Roman"/>
          <w:i/>
          <w:color w:val="000000"/>
          <w:sz w:val="23"/>
          <w:szCs w:val="23"/>
        </w:rPr>
        <w:t xml:space="preserve">, but they wrote separately to explain their reasoning. Two justices </w:t>
      </w:r>
      <w:r w:rsidRPr="00F92ECF">
        <w:rPr>
          <w:rFonts w:ascii="Open Sans" w:eastAsia="Times New Roman" w:hAnsi="Open Sans" w:cs="Times New Roman"/>
          <w:b/>
          <w:bCs/>
          <w:i/>
          <w:color w:val="000000"/>
          <w:sz w:val="23"/>
          <w:szCs w:val="23"/>
          <w:highlight w:val="yellow"/>
        </w:rPr>
        <w:t>dissented</w:t>
      </w:r>
      <w:r w:rsidRPr="001903AA">
        <w:rPr>
          <w:rFonts w:ascii="Open Sans" w:eastAsia="Times New Roman" w:hAnsi="Open Sans" w:cs="Times New Roman"/>
          <w:i/>
          <w:color w:val="000000"/>
          <w:sz w:val="23"/>
          <w:szCs w:val="23"/>
        </w:rPr>
        <w:t>. Justice Fortas delivered the majority opinion of the Court</w:t>
      </w:r>
      <w:r w:rsidR="00B6345E">
        <w:rPr>
          <w:rFonts w:ascii="Open Sans" w:eastAsia="Times New Roman" w:hAnsi="Open Sans" w:cs="Times New Roman"/>
          <w:i/>
          <w:color w:val="000000"/>
          <w:sz w:val="23"/>
          <w:szCs w:val="23"/>
        </w:rPr>
        <w:t>, excerpts of which are below:</w:t>
      </w:r>
    </w:p>
    <w:p w14:paraId="5930C40B" w14:textId="0DD891B6" w:rsidR="001903AA" w:rsidRPr="001903AA" w:rsidRDefault="001903AA" w:rsidP="001903AA">
      <w:pPr>
        <w:shd w:val="clear" w:color="auto" w:fill="FFFFFF"/>
        <w:spacing w:after="300" w:line="300" w:lineRule="atLeast"/>
        <w:contextualSpacing w:val="0"/>
        <w:rPr>
          <w:rFonts w:ascii="Open Sans" w:eastAsia="Times New Roman" w:hAnsi="Open Sans" w:cs="Times New Roman"/>
          <w:color w:val="000000"/>
          <w:sz w:val="23"/>
          <w:szCs w:val="23"/>
        </w:rPr>
      </w:pPr>
      <w:r w:rsidRPr="001903AA">
        <w:rPr>
          <w:rFonts w:ascii="Open Sans" w:eastAsia="Times New Roman" w:hAnsi="Open Sans" w:cs="Times New Roman"/>
          <w:color w:val="000000"/>
          <w:sz w:val="23"/>
          <w:szCs w:val="23"/>
        </w:rPr>
        <w:t xml:space="preserve">. . . First Amendment rights, applied </w:t>
      </w:r>
      <w:proofErr w:type="gramStart"/>
      <w:r w:rsidRPr="001903AA">
        <w:rPr>
          <w:rFonts w:ascii="Open Sans" w:eastAsia="Times New Roman" w:hAnsi="Open Sans" w:cs="Times New Roman"/>
          <w:color w:val="000000"/>
          <w:sz w:val="23"/>
          <w:szCs w:val="23"/>
        </w:rPr>
        <w:t>in light of</w:t>
      </w:r>
      <w:proofErr w:type="gramEnd"/>
      <w:r w:rsidRPr="001903AA">
        <w:rPr>
          <w:rFonts w:ascii="Open Sans" w:eastAsia="Times New Roman" w:hAnsi="Open Sans" w:cs="Times New Roman"/>
          <w:color w:val="000000"/>
          <w:sz w:val="23"/>
          <w:szCs w:val="23"/>
        </w:rPr>
        <w:t xml:space="preserve"> the special characteristics of the school environment, are available to teachers and students. </w:t>
      </w:r>
      <w:r w:rsidRPr="008732B5">
        <w:rPr>
          <w:rFonts w:ascii="Open Sans" w:eastAsia="Times New Roman" w:hAnsi="Open Sans" w:cs="Times New Roman"/>
          <w:color w:val="000000"/>
          <w:sz w:val="23"/>
          <w:szCs w:val="23"/>
          <w:u w:val="single"/>
        </w:rPr>
        <w:t>It can hardly be argue</w:t>
      </w:r>
      <w:bookmarkStart w:id="0" w:name="_GoBack"/>
      <w:bookmarkEnd w:id="0"/>
      <w:r w:rsidRPr="008732B5">
        <w:rPr>
          <w:rFonts w:ascii="Open Sans" w:eastAsia="Times New Roman" w:hAnsi="Open Sans" w:cs="Times New Roman"/>
          <w:color w:val="000000"/>
          <w:sz w:val="23"/>
          <w:szCs w:val="23"/>
          <w:u w:val="single"/>
        </w:rPr>
        <w:t>d that either students or teachers shed their constitutional rights to freedom of speech or expression at the schoolhouse gate</w:t>
      </w:r>
      <w:proofErr w:type="gramStart"/>
      <w:r w:rsidRPr="008732B5">
        <w:rPr>
          <w:rFonts w:ascii="Open Sans" w:eastAsia="Times New Roman" w:hAnsi="Open Sans" w:cs="Times New Roman"/>
          <w:color w:val="000000"/>
          <w:sz w:val="23"/>
          <w:szCs w:val="23"/>
          <w:u w:val="single"/>
        </w:rPr>
        <w:t>. . . .</w:t>
      </w:r>
      <w:proofErr w:type="gramEnd"/>
    </w:p>
    <w:p w14:paraId="3EDDB9C2" w14:textId="52B9E8E9" w:rsidR="001903AA" w:rsidRPr="001903AA" w:rsidRDefault="006A3487" w:rsidP="001903AA">
      <w:pPr>
        <w:shd w:val="clear" w:color="auto" w:fill="FFFFFF"/>
        <w:spacing w:after="300" w:line="300" w:lineRule="atLeast"/>
        <w:contextualSpacing w:val="0"/>
        <w:rPr>
          <w:rFonts w:ascii="Open Sans" w:eastAsia="Times New Roman" w:hAnsi="Open Sans" w:cs="Times New Roman"/>
          <w:color w:val="000000"/>
          <w:sz w:val="23"/>
          <w:szCs w:val="23"/>
        </w:rPr>
      </w:pPr>
      <w:r w:rsidRPr="009840A2">
        <w:rPr>
          <w:rFonts w:eastAsia="Times New Roman" w:cs="Times New Roman"/>
          <w:noProof/>
          <w:szCs w:val="24"/>
        </w:rPr>
        <mc:AlternateContent>
          <mc:Choice Requires="wps">
            <w:drawing>
              <wp:anchor distT="45720" distB="45720" distL="114300" distR="114300" simplePos="0" relativeHeight="251659264" behindDoc="0" locked="0" layoutInCell="1" allowOverlap="1" wp14:anchorId="1156E504" wp14:editId="16BE6BEF">
                <wp:simplePos x="0" y="0"/>
                <wp:positionH relativeFrom="margin">
                  <wp:posOffset>2891790</wp:posOffset>
                </wp:positionH>
                <wp:positionV relativeFrom="paragraph">
                  <wp:posOffset>31750</wp:posOffset>
                </wp:positionV>
                <wp:extent cx="3086100" cy="38023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802380"/>
                        </a:xfrm>
                        <a:prstGeom prst="rect">
                          <a:avLst/>
                        </a:prstGeom>
                        <a:solidFill>
                          <a:schemeClr val="accent4">
                            <a:lumMod val="20000"/>
                            <a:lumOff val="80000"/>
                          </a:schemeClr>
                        </a:solidFill>
                        <a:ln w="19050">
                          <a:solidFill>
                            <a:schemeClr val="accent4">
                              <a:lumMod val="75000"/>
                            </a:schemeClr>
                          </a:solidFill>
                          <a:miter lim="800000"/>
                          <a:headEnd/>
                          <a:tailEnd/>
                        </a:ln>
                      </wps:spPr>
                      <wps:txbx>
                        <w:txbxContent>
                          <w:p w14:paraId="22D6BEE0" w14:textId="77777777" w:rsidR="00F92ECF" w:rsidRPr="0034324A" w:rsidRDefault="00F92ECF" w:rsidP="00F92ECF">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23654B74" w14:textId="77777777" w:rsidR="00F92ECF" w:rsidRDefault="00F92ECF" w:rsidP="00F92ECF">
                            <w:pPr>
                              <w:rPr>
                                <w:rFonts w:asciiTheme="minorHAnsi" w:hAnsiTheme="minorHAnsi" w:cstheme="minorHAnsi"/>
                                <w:b/>
                                <w:bCs/>
                                <w:highlight w:val="yellow"/>
                              </w:rPr>
                            </w:pPr>
                          </w:p>
                          <w:p w14:paraId="000C5DD6" w14:textId="0905DD15" w:rsidR="00F92ECF" w:rsidRDefault="00F92ECF" w:rsidP="00F92ECF">
                            <w:pPr>
                              <w:rPr>
                                <w:rFonts w:asciiTheme="minorHAnsi" w:hAnsiTheme="minorHAnsi" w:cstheme="minorHAnsi"/>
                              </w:rPr>
                            </w:pPr>
                            <w:r>
                              <w:rPr>
                                <w:rFonts w:asciiTheme="minorHAnsi" w:hAnsiTheme="minorHAnsi" w:cstheme="minorHAnsi"/>
                                <w:b/>
                                <w:bCs/>
                                <w:highlight w:val="yellow"/>
                              </w:rPr>
                              <w:t>Majority Opinion</w:t>
                            </w:r>
                            <w:r w:rsidRPr="009840A2">
                              <w:rPr>
                                <w:rFonts w:asciiTheme="minorHAnsi" w:hAnsiTheme="minorHAnsi" w:cstheme="minorHAnsi"/>
                              </w:rPr>
                              <w:t xml:space="preserve">: </w:t>
                            </w:r>
                            <w:r>
                              <w:rPr>
                                <w:rFonts w:asciiTheme="minorHAnsi" w:hAnsiTheme="minorHAnsi" w:cstheme="minorHAnsi"/>
                              </w:rPr>
                              <w:t xml:space="preserve">The decision of more than half of the court and the reasoning behind it; this decision is the </w:t>
                            </w:r>
                            <w:r w:rsidR="00A4651E">
                              <w:rPr>
                                <w:rFonts w:asciiTheme="minorHAnsi" w:hAnsiTheme="minorHAnsi" w:cstheme="minorHAnsi"/>
                              </w:rPr>
                              <w:t>ultimate outcome of the case</w:t>
                            </w:r>
                            <w:r>
                              <w:rPr>
                                <w:rFonts w:asciiTheme="minorHAnsi" w:hAnsiTheme="minorHAnsi" w:cstheme="minorHAnsi"/>
                              </w:rPr>
                              <w:t>.</w:t>
                            </w:r>
                          </w:p>
                          <w:p w14:paraId="75789329" w14:textId="77777777" w:rsidR="00F92ECF" w:rsidRDefault="00F92ECF" w:rsidP="00F92ECF">
                            <w:pPr>
                              <w:rPr>
                                <w:rFonts w:asciiTheme="minorHAnsi" w:hAnsiTheme="minorHAnsi" w:cstheme="minorHAnsi"/>
                              </w:rPr>
                            </w:pPr>
                          </w:p>
                          <w:p w14:paraId="2DB2837C" w14:textId="54D576E5" w:rsidR="00F92ECF" w:rsidRDefault="00A4651E" w:rsidP="00F92ECF">
                            <w:pPr>
                              <w:rPr>
                                <w:rFonts w:asciiTheme="minorHAnsi" w:hAnsiTheme="minorHAnsi" w:cstheme="minorHAnsi"/>
                              </w:rPr>
                            </w:pPr>
                            <w:r w:rsidRPr="00A4651E">
                              <w:rPr>
                                <w:rFonts w:asciiTheme="minorHAnsi" w:hAnsiTheme="minorHAnsi" w:cstheme="minorHAnsi"/>
                                <w:b/>
                                <w:bCs/>
                                <w:highlight w:val="yellow"/>
                              </w:rPr>
                              <w:t>Concurring Opinion</w:t>
                            </w:r>
                            <w:r w:rsidR="00F92ECF">
                              <w:rPr>
                                <w:rFonts w:asciiTheme="minorHAnsi" w:hAnsiTheme="minorHAnsi" w:cstheme="minorHAnsi"/>
                              </w:rPr>
                              <w:t xml:space="preserve">: </w:t>
                            </w:r>
                            <w:r>
                              <w:rPr>
                                <w:rFonts w:asciiTheme="minorHAnsi" w:hAnsiTheme="minorHAnsi" w:cstheme="minorHAnsi"/>
                              </w:rPr>
                              <w:t>Judges who agree with the outcome of the case but for different reasons than the majority may write their own opinions.</w:t>
                            </w:r>
                          </w:p>
                          <w:p w14:paraId="346AE96A" w14:textId="77777777" w:rsidR="00F92ECF" w:rsidRDefault="00F92ECF" w:rsidP="00F92ECF">
                            <w:pPr>
                              <w:rPr>
                                <w:rFonts w:asciiTheme="minorHAnsi" w:hAnsiTheme="minorHAnsi" w:cstheme="minorHAnsi"/>
                              </w:rPr>
                            </w:pPr>
                          </w:p>
                          <w:p w14:paraId="04895849" w14:textId="3A3ECE6B" w:rsidR="00F92ECF" w:rsidRDefault="00A4651E" w:rsidP="00F92ECF">
                            <w:pPr>
                              <w:rPr>
                                <w:rFonts w:asciiTheme="minorHAnsi" w:hAnsiTheme="minorHAnsi" w:cstheme="minorHAnsi"/>
                              </w:rPr>
                            </w:pPr>
                            <w:r w:rsidRPr="00A4651E">
                              <w:rPr>
                                <w:rFonts w:asciiTheme="minorHAnsi" w:hAnsiTheme="minorHAnsi" w:cstheme="minorHAnsi"/>
                                <w:b/>
                                <w:bCs/>
                                <w:highlight w:val="yellow"/>
                              </w:rPr>
                              <w:t>Unconstitutional</w:t>
                            </w:r>
                            <w:r w:rsidR="00F92ECF">
                              <w:rPr>
                                <w:rFonts w:asciiTheme="minorHAnsi" w:hAnsiTheme="minorHAnsi" w:cstheme="minorHAnsi"/>
                              </w:rPr>
                              <w:t xml:space="preserve">: </w:t>
                            </w:r>
                            <w:r>
                              <w:rPr>
                                <w:rFonts w:asciiTheme="minorHAnsi" w:hAnsiTheme="minorHAnsi" w:cstheme="minorHAnsi"/>
                              </w:rPr>
                              <w:t>Against the principles of the Constitution.</w:t>
                            </w:r>
                          </w:p>
                          <w:p w14:paraId="240C94A8" w14:textId="77777777" w:rsidR="00F92ECF" w:rsidRDefault="00F92ECF" w:rsidP="00F92ECF">
                            <w:pPr>
                              <w:rPr>
                                <w:rFonts w:asciiTheme="minorHAnsi" w:hAnsiTheme="minorHAnsi" w:cstheme="minorHAnsi"/>
                              </w:rPr>
                            </w:pPr>
                          </w:p>
                          <w:p w14:paraId="11AFA3FC" w14:textId="7D149D41" w:rsidR="00F92ECF" w:rsidRDefault="00A4651E" w:rsidP="00F92ECF">
                            <w:pPr>
                              <w:rPr>
                                <w:rFonts w:asciiTheme="minorHAnsi" w:hAnsiTheme="minorHAnsi" w:cstheme="minorHAnsi"/>
                              </w:rPr>
                            </w:pPr>
                            <w:r w:rsidRPr="00A4651E">
                              <w:rPr>
                                <w:rFonts w:asciiTheme="minorHAnsi" w:hAnsiTheme="minorHAnsi" w:cstheme="minorHAnsi"/>
                                <w:b/>
                                <w:bCs/>
                                <w:highlight w:val="yellow"/>
                              </w:rPr>
                              <w:t>Dissent</w:t>
                            </w:r>
                            <w:r w:rsidR="00F92ECF">
                              <w:rPr>
                                <w:rFonts w:asciiTheme="minorHAnsi" w:hAnsiTheme="minorHAnsi" w:cstheme="minorHAnsi"/>
                              </w:rPr>
                              <w:t xml:space="preserve">: A legal </w:t>
                            </w:r>
                            <w:r>
                              <w:rPr>
                                <w:rFonts w:asciiTheme="minorHAnsi" w:hAnsiTheme="minorHAnsi" w:cstheme="minorHAnsi"/>
                              </w:rPr>
                              <w:t>opinion that goes against the majority opinion of a case.</w:t>
                            </w:r>
                          </w:p>
                          <w:p w14:paraId="1A32C1CE" w14:textId="77777777" w:rsidR="00F92ECF" w:rsidRDefault="00F92ECF" w:rsidP="00F92ECF">
                            <w:pPr>
                              <w:rPr>
                                <w:rFonts w:asciiTheme="minorHAnsi" w:hAnsiTheme="minorHAnsi" w:cstheme="minorHAnsi"/>
                              </w:rPr>
                            </w:pPr>
                          </w:p>
                          <w:p w14:paraId="2841CBB6" w14:textId="77777777" w:rsidR="00F92ECF" w:rsidRPr="009840A2" w:rsidRDefault="00F92ECF" w:rsidP="00F92ECF">
                            <w:pPr>
                              <w:rPr>
                                <w:rFonts w:asciiTheme="minorHAnsi" w:hAnsiTheme="minorHAnsi" w:cstheme="minorHAnsi"/>
                              </w:rPr>
                            </w:pPr>
                            <w:r w:rsidRPr="0034324A">
                              <w:rPr>
                                <w:rFonts w:asciiTheme="minorHAnsi" w:hAnsiTheme="minorHAnsi" w:cstheme="minorHAnsi"/>
                                <w:b/>
                                <w:bCs/>
                                <w:highlight w:val="yellow"/>
                              </w:rPr>
                              <w:t>Appeal</w:t>
                            </w:r>
                            <w:r>
                              <w:rPr>
                                <w:rFonts w:asciiTheme="minorHAnsi" w:hAnsiTheme="minorHAnsi" w:cstheme="minorHAnsi"/>
                              </w:rPr>
                              <w:t>: To request that a higher court review a lower court’s decision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6E504" id="_x0000_t202" coordsize="21600,21600" o:spt="202" path="m,l,21600r21600,l21600,xe">
                <v:stroke joinstyle="miter"/>
                <v:path gradientshapeok="t" o:connecttype="rect"/>
              </v:shapetype>
              <v:shape id="Text Box 2" o:spid="_x0000_s1026" type="#_x0000_t202" style="position:absolute;margin-left:227.7pt;margin-top:2.5pt;width:243pt;height:299.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" fillcolor="#fff2cc [663]" strokecolor="#bf8f00 [2407]" strokeweight="1.5pt">
                <v:textbox>
                  <w:txbxContent>
                    <w:p w14:paraId="22D6BEE0" w14:textId="77777777" w:rsidR="00F92ECF" w:rsidRPr="0034324A" w:rsidRDefault="00F92ECF" w:rsidP="00F92ECF">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23654B74" w14:textId="77777777" w:rsidR="00F92ECF" w:rsidRDefault="00F92ECF" w:rsidP="00F92ECF">
                      <w:pPr>
                        <w:rPr>
                          <w:rFonts w:asciiTheme="minorHAnsi" w:hAnsiTheme="minorHAnsi" w:cstheme="minorHAnsi"/>
                          <w:b/>
                          <w:bCs/>
                          <w:highlight w:val="yellow"/>
                        </w:rPr>
                      </w:pPr>
                    </w:p>
                    <w:p w14:paraId="000C5DD6" w14:textId="0905DD15" w:rsidR="00F92ECF" w:rsidRDefault="00F92ECF" w:rsidP="00F92ECF">
                      <w:pPr>
                        <w:rPr>
                          <w:rFonts w:asciiTheme="minorHAnsi" w:hAnsiTheme="minorHAnsi" w:cstheme="minorHAnsi"/>
                        </w:rPr>
                      </w:pPr>
                      <w:r>
                        <w:rPr>
                          <w:rFonts w:asciiTheme="minorHAnsi" w:hAnsiTheme="minorHAnsi" w:cstheme="minorHAnsi"/>
                          <w:b/>
                          <w:bCs/>
                          <w:highlight w:val="yellow"/>
                        </w:rPr>
                        <w:t>Majority Opinion</w:t>
                      </w:r>
                      <w:r w:rsidRPr="009840A2">
                        <w:rPr>
                          <w:rFonts w:asciiTheme="minorHAnsi" w:hAnsiTheme="minorHAnsi" w:cstheme="minorHAnsi"/>
                        </w:rPr>
                        <w:t xml:space="preserve">: </w:t>
                      </w:r>
                      <w:r>
                        <w:rPr>
                          <w:rFonts w:asciiTheme="minorHAnsi" w:hAnsiTheme="minorHAnsi" w:cstheme="minorHAnsi"/>
                        </w:rPr>
                        <w:t xml:space="preserve">The decision of more than half of the court and the reasoning behind it; this decision is the </w:t>
                      </w:r>
                      <w:r w:rsidR="00A4651E">
                        <w:rPr>
                          <w:rFonts w:asciiTheme="minorHAnsi" w:hAnsiTheme="minorHAnsi" w:cstheme="minorHAnsi"/>
                        </w:rPr>
                        <w:t>ultimate outcome of the case</w:t>
                      </w:r>
                      <w:r>
                        <w:rPr>
                          <w:rFonts w:asciiTheme="minorHAnsi" w:hAnsiTheme="minorHAnsi" w:cstheme="minorHAnsi"/>
                        </w:rPr>
                        <w:t>.</w:t>
                      </w:r>
                    </w:p>
                    <w:p w14:paraId="75789329" w14:textId="77777777" w:rsidR="00F92ECF" w:rsidRDefault="00F92ECF" w:rsidP="00F92ECF">
                      <w:pPr>
                        <w:rPr>
                          <w:rFonts w:asciiTheme="minorHAnsi" w:hAnsiTheme="minorHAnsi" w:cstheme="minorHAnsi"/>
                        </w:rPr>
                      </w:pPr>
                    </w:p>
                    <w:p w14:paraId="2DB2837C" w14:textId="54D576E5" w:rsidR="00F92ECF" w:rsidRDefault="00A4651E" w:rsidP="00F92ECF">
                      <w:pPr>
                        <w:rPr>
                          <w:rFonts w:asciiTheme="minorHAnsi" w:hAnsiTheme="minorHAnsi" w:cstheme="minorHAnsi"/>
                        </w:rPr>
                      </w:pPr>
                      <w:r w:rsidRPr="00A4651E">
                        <w:rPr>
                          <w:rFonts w:asciiTheme="minorHAnsi" w:hAnsiTheme="minorHAnsi" w:cstheme="minorHAnsi"/>
                          <w:b/>
                          <w:bCs/>
                          <w:highlight w:val="yellow"/>
                        </w:rPr>
                        <w:t>Concurring Opinion</w:t>
                      </w:r>
                      <w:r w:rsidR="00F92ECF">
                        <w:rPr>
                          <w:rFonts w:asciiTheme="minorHAnsi" w:hAnsiTheme="minorHAnsi" w:cstheme="minorHAnsi"/>
                        </w:rPr>
                        <w:t xml:space="preserve">: </w:t>
                      </w:r>
                      <w:r>
                        <w:rPr>
                          <w:rFonts w:asciiTheme="minorHAnsi" w:hAnsiTheme="minorHAnsi" w:cstheme="minorHAnsi"/>
                        </w:rPr>
                        <w:t>Judges who agree with the outcome of the case but for different reasons than the majority may write their own opinions.</w:t>
                      </w:r>
                    </w:p>
                    <w:p w14:paraId="346AE96A" w14:textId="77777777" w:rsidR="00F92ECF" w:rsidRDefault="00F92ECF" w:rsidP="00F92ECF">
                      <w:pPr>
                        <w:rPr>
                          <w:rFonts w:asciiTheme="minorHAnsi" w:hAnsiTheme="minorHAnsi" w:cstheme="minorHAnsi"/>
                        </w:rPr>
                      </w:pPr>
                    </w:p>
                    <w:p w14:paraId="04895849" w14:textId="3A3ECE6B" w:rsidR="00F92ECF" w:rsidRDefault="00A4651E" w:rsidP="00F92ECF">
                      <w:pPr>
                        <w:rPr>
                          <w:rFonts w:asciiTheme="minorHAnsi" w:hAnsiTheme="minorHAnsi" w:cstheme="minorHAnsi"/>
                        </w:rPr>
                      </w:pPr>
                      <w:r w:rsidRPr="00A4651E">
                        <w:rPr>
                          <w:rFonts w:asciiTheme="minorHAnsi" w:hAnsiTheme="minorHAnsi" w:cstheme="minorHAnsi"/>
                          <w:b/>
                          <w:bCs/>
                          <w:highlight w:val="yellow"/>
                        </w:rPr>
                        <w:t>Unconstitutional</w:t>
                      </w:r>
                      <w:r w:rsidR="00F92ECF">
                        <w:rPr>
                          <w:rFonts w:asciiTheme="minorHAnsi" w:hAnsiTheme="minorHAnsi" w:cstheme="minorHAnsi"/>
                        </w:rPr>
                        <w:t xml:space="preserve">: </w:t>
                      </w:r>
                      <w:r>
                        <w:rPr>
                          <w:rFonts w:asciiTheme="minorHAnsi" w:hAnsiTheme="minorHAnsi" w:cstheme="minorHAnsi"/>
                        </w:rPr>
                        <w:t>Against the principles of the Constitution.</w:t>
                      </w:r>
                    </w:p>
                    <w:p w14:paraId="240C94A8" w14:textId="77777777" w:rsidR="00F92ECF" w:rsidRDefault="00F92ECF" w:rsidP="00F92ECF">
                      <w:pPr>
                        <w:rPr>
                          <w:rFonts w:asciiTheme="minorHAnsi" w:hAnsiTheme="minorHAnsi" w:cstheme="minorHAnsi"/>
                        </w:rPr>
                      </w:pPr>
                    </w:p>
                    <w:p w14:paraId="11AFA3FC" w14:textId="7D149D41" w:rsidR="00F92ECF" w:rsidRDefault="00A4651E" w:rsidP="00F92ECF">
                      <w:pPr>
                        <w:rPr>
                          <w:rFonts w:asciiTheme="minorHAnsi" w:hAnsiTheme="minorHAnsi" w:cstheme="minorHAnsi"/>
                        </w:rPr>
                      </w:pPr>
                      <w:r w:rsidRPr="00A4651E">
                        <w:rPr>
                          <w:rFonts w:asciiTheme="minorHAnsi" w:hAnsiTheme="minorHAnsi" w:cstheme="minorHAnsi"/>
                          <w:b/>
                          <w:bCs/>
                          <w:highlight w:val="yellow"/>
                        </w:rPr>
                        <w:t>Dissent</w:t>
                      </w:r>
                      <w:r w:rsidR="00F92ECF">
                        <w:rPr>
                          <w:rFonts w:asciiTheme="minorHAnsi" w:hAnsiTheme="minorHAnsi" w:cstheme="minorHAnsi"/>
                        </w:rPr>
                        <w:t xml:space="preserve">: A legal </w:t>
                      </w:r>
                      <w:r>
                        <w:rPr>
                          <w:rFonts w:asciiTheme="minorHAnsi" w:hAnsiTheme="minorHAnsi" w:cstheme="minorHAnsi"/>
                        </w:rPr>
                        <w:t>opinion that goes against the majority opinion of a case.</w:t>
                      </w:r>
                    </w:p>
                    <w:p w14:paraId="1A32C1CE" w14:textId="77777777" w:rsidR="00F92ECF" w:rsidRDefault="00F92ECF" w:rsidP="00F92ECF">
                      <w:pPr>
                        <w:rPr>
                          <w:rFonts w:asciiTheme="minorHAnsi" w:hAnsiTheme="minorHAnsi" w:cstheme="minorHAnsi"/>
                        </w:rPr>
                      </w:pPr>
                    </w:p>
                    <w:p w14:paraId="2841CBB6" w14:textId="77777777" w:rsidR="00F92ECF" w:rsidRPr="009840A2" w:rsidRDefault="00F92ECF" w:rsidP="00F92ECF">
                      <w:pPr>
                        <w:rPr>
                          <w:rFonts w:asciiTheme="minorHAnsi" w:hAnsiTheme="minorHAnsi" w:cstheme="minorHAnsi"/>
                        </w:rPr>
                      </w:pPr>
                      <w:r w:rsidRPr="0034324A">
                        <w:rPr>
                          <w:rFonts w:asciiTheme="minorHAnsi" w:hAnsiTheme="minorHAnsi" w:cstheme="minorHAnsi"/>
                          <w:b/>
                          <w:bCs/>
                          <w:highlight w:val="yellow"/>
                        </w:rPr>
                        <w:t>Appeal</w:t>
                      </w:r>
                      <w:r>
                        <w:rPr>
                          <w:rFonts w:asciiTheme="minorHAnsi" w:hAnsiTheme="minorHAnsi" w:cstheme="minorHAnsi"/>
                        </w:rPr>
                        <w:t>: To request that a higher court review a lower court’s decision</w:t>
                      </w:r>
                    </w:p>
                  </w:txbxContent>
                </v:textbox>
                <w10:wrap type="square" anchorx="margin"/>
              </v:shape>
            </w:pict>
          </mc:Fallback>
        </mc:AlternateContent>
      </w:r>
      <w:r w:rsidR="001903AA" w:rsidRPr="001903AA">
        <w:rPr>
          <w:rFonts w:ascii="Open Sans" w:eastAsia="Times New Roman" w:hAnsi="Open Sans" w:cs="Times New Roman"/>
          <w:color w:val="000000"/>
          <w:sz w:val="23"/>
          <w:szCs w:val="23"/>
        </w:rPr>
        <w:t xml:space="preserve">. . . The 14th Amendment, as now applied to the States, protects the citizen against the State itself and </w:t>
      </w:r>
      <w:proofErr w:type="gramStart"/>
      <w:r w:rsidR="001903AA" w:rsidRPr="001903AA">
        <w:rPr>
          <w:rFonts w:ascii="Open Sans" w:eastAsia="Times New Roman" w:hAnsi="Open Sans" w:cs="Times New Roman"/>
          <w:color w:val="000000"/>
          <w:sz w:val="23"/>
          <w:szCs w:val="23"/>
        </w:rPr>
        <w:t>all of</w:t>
      </w:r>
      <w:proofErr w:type="gramEnd"/>
      <w:r w:rsidR="001903AA" w:rsidRPr="001903AA">
        <w:rPr>
          <w:rFonts w:ascii="Open Sans" w:eastAsia="Times New Roman" w:hAnsi="Open Sans" w:cs="Times New Roman"/>
          <w:color w:val="000000"/>
          <w:sz w:val="23"/>
          <w:szCs w:val="23"/>
        </w:rPr>
        <w:t xml:space="preserve"> its creatures — Boards of Education not excepted. </w:t>
      </w:r>
      <w:r w:rsidR="00977ECE">
        <w:rPr>
          <w:rFonts w:ascii="Open Sans" w:eastAsia="Times New Roman" w:hAnsi="Open Sans" w:cs="Times New Roman"/>
          <w:color w:val="000000"/>
          <w:sz w:val="23"/>
          <w:szCs w:val="23"/>
        </w:rPr>
        <w:t>…</w:t>
      </w:r>
      <w:r w:rsidR="001903AA" w:rsidRPr="001903AA">
        <w:rPr>
          <w:rFonts w:ascii="Open Sans" w:eastAsia="Times New Roman" w:hAnsi="Open Sans" w:cs="Times New Roman"/>
          <w:color w:val="000000"/>
          <w:sz w:val="23"/>
          <w:szCs w:val="23"/>
        </w:rPr>
        <w:t xml:space="preserve"> That they are educating the young for citizenship is reason for </w:t>
      </w:r>
      <w:r w:rsidR="002754AD">
        <w:rPr>
          <w:rFonts w:ascii="Open Sans" w:eastAsia="Times New Roman" w:hAnsi="Open Sans" w:cs="Times New Roman"/>
          <w:color w:val="000000"/>
          <w:sz w:val="23"/>
          <w:szCs w:val="23"/>
        </w:rPr>
        <w:t xml:space="preserve">[…] </w:t>
      </w:r>
      <w:r w:rsidR="001903AA" w:rsidRPr="001903AA">
        <w:rPr>
          <w:rFonts w:ascii="Open Sans" w:eastAsia="Times New Roman" w:hAnsi="Open Sans" w:cs="Times New Roman"/>
          <w:color w:val="000000"/>
          <w:sz w:val="23"/>
          <w:szCs w:val="23"/>
        </w:rPr>
        <w:t>protection of Constitutional freedoms of the individual, if we are not to strangle the free mind at its source and teach youth to discount important principles of our government as mere platitudes. . . .</w:t>
      </w:r>
    </w:p>
    <w:p w14:paraId="5B2C0DD5" w14:textId="77777777" w:rsidR="001903AA" w:rsidRPr="001903AA" w:rsidRDefault="001903AA" w:rsidP="001903AA">
      <w:pPr>
        <w:shd w:val="clear" w:color="auto" w:fill="FFFFFF"/>
        <w:spacing w:after="300" w:line="300" w:lineRule="atLeast"/>
        <w:contextualSpacing w:val="0"/>
        <w:rPr>
          <w:rFonts w:ascii="Open Sans" w:eastAsia="Times New Roman" w:hAnsi="Open Sans" w:cs="Times New Roman"/>
          <w:color w:val="000000"/>
          <w:sz w:val="23"/>
          <w:szCs w:val="23"/>
        </w:rPr>
      </w:pPr>
      <w:r w:rsidRPr="001903AA">
        <w:rPr>
          <w:rFonts w:ascii="Open Sans" w:eastAsia="Times New Roman" w:hAnsi="Open Sans" w:cs="Times New Roman"/>
          <w:color w:val="000000"/>
          <w:sz w:val="23"/>
          <w:szCs w:val="23"/>
        </w:rPr>
        <w:t>. . . On the other hand, the Court has repeatedly emphasized the need for affirming the comprehensive authority of the States and of school officials, consistent with fundamental constitutional safeguards, to prescribe and control conduct in the schools. Our problem involves direct, primary First Amendment rights akin to "pure speech."</w:t>
      </w:r>
    </w:p>
    <w:p w14:paraId="441B93B9" w14:textId="77777777" w:rsidR="001903AA" w:rsidRPr="001903AA" w:rsidRDefault="001903AA" w:rsidP="001903AA">
      <w:pPr>
        <w:shd w:val="clear" w:color="auto" w:fill="FFFFFF"/>
        <w:spacing w:after="300" w:line="300" w:lineRule="atLeast"/>
        <w:contextualSpacing w:val="0"/>
        <w:rPr>
          <w:rFonts w:ascii="Open Sans" w:eastAsia="Times New Roman" w:hAnsi="Open Sans" w:cs="Times New Roman"/>
          <w:color w:val="000000"/>
          <w:sz w:val="23"/>
          <w:szCs w:val="23"/>
        </w:rPr>
      </w:pPr>
      <w:r w:rsidRPr="001903AA">
        <w:rPr>
          <w:rFonts w:ascii="Open Sans" w:eastAsia="Times New Roman" w:hAnsi="Open Sans" w:cs="Times New Roman"/>
          <w:color w:val="000000"/>
          <w:sz w:val="23"/>
          <w:szCs w:val="23"/>
        </w:rPr>
        <w:t xml:space="preserve">. . . In order for the State in the person of school officials to justify prohibition of a particular expression of opinion, it must be able to show </w:t>
      </w:r>
      <w:r w:rsidRPr="001903AA">
        <w:rPr>
          <w:rFonts w:ascii="Open Sans" w:eastAsia="Times New Roman" w:hAnsi="Open Sans" w:cs="Times New Roman"/>
          <w:color w:val="000000"/>
          <w:sz w:val="23"/>
          <w:szCs w:val="23"/>
        </w:rPr>
        <w:lastRenderedPageBreak/>
        <w:t xml:space="preserve">that its action was caused by something more than a mere desire to avoid the discomfort and unpleasantness that always accompany an unpopular viewpoint. </w:t>
      </w:r>
      <w:proofErr w:type="gramStart"/>
      <w:r w:rsidRPr="007A429C">
        <w:rPr>
          <w:rFonts w:ascii="Open Sans" w:eastAsia="Times New Roman" w:hAnsi="Open Sans" w:cs="Times New Roman"/>
          <w:color w:val="000000"/>
          <w:sz w:val="23"/>
          <w:szCs w:val="23"/>
          <w:u w:val="single"/>
        </w:rPr>
        <w:t>Certainly</w:t>
      </w:r>
      <w:proofErr w:type="gramEnd"/>
      <w:r w:rsidRPr="007A429C">
        <w:rPr>
          <w:rFonts w:ascii="Open Sans" w:eastAsia="Times New Roman" w:hAnsi="Open Sans" w:cs="Times New Roman"/>
          <w:color w:val="000000"/>
          <w:sz w:val="23"/>
          <w:szCs w:val="23"/>
          <w:u w:val="single"/>
        </w:rPr>
        <w:t xml:space="preserve"> where there is no finding and no showing that engaging in the forbidden conduct would "materially and substantially interfere with the requirements of appropriate discipline in the operation of the school," the prohibition cannot be sustained</w:t>
      </w:r>
      <w:r w:rsidRPr="001903AA">
        <w:rPr>
          <w:rFonts w:ascii="Open Sans" w:eastAsia="Times New Roman" w:hAnsi="Open Sans" w:cs="Times New Roman"/>
          <w:color w:val="000000"/>
          <w:sz w:val="23"/>
          <w:szCs w:val="23"/>
        </w:rPr>
        <w:t xml:space="preserve"> . . .</w:t>
      </w:r>
    </w:p>
    <w:p w14:paraId="70FEF6E5" w14:textId="77777777" w:rsidR="001903AA" w:rsidRPr="001903AA" w:rsidRDefault="001903AA" w:rsidP="001903AA">
      <w:pPr>
        <w:shd w:val="clear" w:color="auto" w:fill="FFFFFF"/>
        <w:spacing w:after="300" w:line="300" w:lineRule="atLeast"/>
        <w:contextualSpacing w:val="0"/>
        <w:rPr>
          <w:rFonts w:ascii="Open Sans" w:eastAsia="Times New Roman" w:hAnsi="Open Sans" w:cs="Times New Roman"/>
          <w:color w:val="000000"/>
          <w:sz w:val="23"/>
          <w:szCs w:val="23"/>
        </w:rPr>
      </w:pPr>
      <w:r w:rsidRPr="001903AA">
        <w:rPr>
          <w:rFonts w:ascii="Open Sans" w:eastAsia="Times New Roman" w:hAnsi="Open Sans" w:cs="Times New Roman"/>
          <w:color w:val="000000"/>
          <w:sz w:val="23"/>
          <w:szCs w:val="23"/>
        </w:rPr>
        <w:t>. . . the record fails to yield evidence that the school authorities had reason to anticipate that the wearing of the armbands would substantially interfere with the work of the school or impinge upon the rights of other students . . . [and] the school officials banned and sought to punish petitioners for a silent, passive expression of opinion, unaccompanied by any disorder or disturbance on the part of petitioners. . . .</w:t>
      </w:r>
    </w:p>
    <w:p w14:paraId="0052B578" w14:textId="78CA7955" w:rsidR="001903AA" w:rsidRPr="001903AA" w:rsidRDefault="001903AA" w:rsidP="001903AA">
      <w:pPr>
        <w:shd w:val="clear" w:color="auto" w:fill="FFFFFF"/>
        <w:spacing w:after="300" w:line="300" w:lineRule="atLeast"/>
        <w:contextualSpacing w:val="0"/>
        <w:rPr>
          <w:rFonts w:ascii="Open Sans" w:eastAsia="Times New Roman" w:hAnsi="Open Sans" w:cs="Times New Roman"/>
          <w:color w:val="000000"/>
          <w:sz w:val="23"/>
          <w:szCs w:val="23"/>
        </w:rPr>
      </w:pPr>
      <w:r w:rsidRPr="001903AA">
        <w:rPr>
          <w:rFonts w:ascii="Open Sans" w:eastAsia="Times New Roman" w:hAnsi="Open Sans" w:cs="Times New Roman"/>
          <w:color w:val="000000"/>
          <w:sz w:val="23"/>
          <w:szCs w:val="23"/>
        </w:rPr>
        <w:t xml:space="preserve">It is also relevant that the school authorities did not </w:t>
      </w:r>
      <w:r w:rsidR="006D1F0F">
        <w:rPr>
          <w:rFonts w:ascii="Open Sans" w:eastAsia="Times New Roman" w:hAnsi="Open Sans" w:cs="Times New Roman"/>
          <w:color w:val="000000"/>
          <w:sz w:val="23"/>
          <w:szCs w:val="23"/>
        </w:rPr>
        <w:t>[…]</w:t>
      </w:r>
      <w:r w:rsidRPr="001903AA">
        <w:rPr>
          <w:rFonts w:ascii="Open Sans" w:eastAsia="Times New Roman" w:hAnsi="Open Sans" w:cs="Times New Roman"/>
          <w:color w:val="000000"/>
          <w:sz w:val="23"/>
          <w:szCs w:val="23"/>
        </w:rPr>
        <w:t xml:space="preserve"> prohibit the wearing of all symbols of political or controversial significance . . . Instead, a </w:t>
      </w:r>
      <w:proofErr w:type="gramStart"/>
      <w:r w:rsidRPr="001903AA">
        <w:rPr>
          <w:rFonts w:ascii="Open Sans" w:eastAsia="Times New Roman" w:hAnsi="Open Sans" w:cs="Times New Roman"/>
          <w:color w:val="000000"/>
          <w:sz w:val="23"/>
          <w:szCs w:val="23"/>
        </w:rPr>
        <w:t>particular symbol</w:t>
      </w:r>
      <w:proofErr w:type="gramEnd"/>
      <w:r w:rsidRPr="001903AA">
        <w:rPr>
          <w:rFonts w:ascii="Open Sans" w:eastAsia="Times New Roman" w:hAnsi="Open Sans" w:cs="Times New Roman"/>
          <w:color w:val="000000"/>
          <w:sz w:val="23"/>
          <w:szCs w:val="23"/>
        </w:rPr>
        <w:t xml:space="preserve"> — black armbands worn to exhibit opposition to this Nation's involvement in Vietnam — was singled out for prohibition. Clearly, the prohibition of expression of one </w:t>
      </w:r>
      <w:proofErr w:type="gramStart"/>
      <w:r w:rsidRPr="001903AA">
        <w:rPr>
          <w:rFonts w:ascii="Open Sans" w:eastAsia="Times New Roman" w:hAnsi="Open Sans" w:cs="Times New Roman"/>
          <w:color w:val="000000"/>
          <w:sz w:val="23"/>
          <w:szCs w:val="23"/>
        </w:rPr>
        <w:t>particular opinion</w:t>
      </w:r>
      <w:proofErr w:type="gramEnd"/>
      <w:r w:rsidRPr="001903AA">
        <w:rPr>
          <w:rFonts w:ascii="Open Sans" w:eastAsia="Times New Roman" w:hAnsi="Open Sans" w:cs="Times New Roman"/>
          <w:color w:val="000000"/>
          <w:sz w:val="23"/>
          <w:szCs w:val="23"/>
        </w:rPr>
        <w:t xml:space="preserve">, at least without evidence that it is necessary to avoid material and substantial interference with schoolwork or discipline, is not constitutionally permissible. In our system, state-operated schools may not be enclaves of totalitarianism. </w:t>
      </w:r>
      <w:r w:rsidRPr="004F68FC">
        <w:rPr>
          <w:rFonts w:ascii="Open Sans" w:eastAsia="Times New Roman" w:hAnsi="Open Sans" w:cs="Times New Roman"/>
          <w:color w:val="000000"/>
          <w:sz w:val="23"/>
          <w:szCs w:val="23"/>
          <w:u w:val="single"/>
        </w:rPr>
        <w:t>School officials do not possess absolute authority over their students. Students in school as well as out of school are "persons" under our Constitution. In the absence of a specific showing of con</w:t>
      </w:r>
      <w:r w:rsidRPr="00C330D2">
        <w:rPr>
          <w:rFonts w:ascii="Open Sans" w:eastAsia="Times New Roman" w:hAnsi="Open Sans" w:cs="Times New Roman"/>
          <w:color w:val="000000"/>
          <w:sz w:val="23"/>
          <w:szCs w:val="23"/>
          <w:u w:val="single"/>
        </w:rPr>
        <w:t>stitutionally valid reasons to regulate their speech, students are entitled to freedom of expression of their views</w:t>
      </w:r>
      <w:proofErr w:type="gramStart"/>
      <w:r w:rsidRPr="00C330D2">
        <w:rPr>
          <w:rFonts w:ascii="Open Sans" w:eastAsia="Times New Roman" w:hAnsi="Open Sans" w:cs="Times New Roman"/>
          <w:color w:val="000000"/>
          <w:sz w:val="23"/>
          <w:szCs w:val="23"/>
          <w:u w:val="single"/>
        </w:rPr>
        <w:t>. . . .</w:t>
      </w:r>
      <w:proofErr w:type="gramEnd"/>
    </w:p>
    <w:p w14:paraId="00085CE4" w14:textId="77777777" w:rsidR="001903AA" w:rsidRPr="001903AA" w:rsidRDefault="006E1F9D" w:rsidP="001903AA">
      <w:pPr>
        <w:spacing w:before="330" w:after="330" w:line="240" w:lineRule="auto"/>
        <w:contextualSpacing w:val="0"/>
        <w:rPr>
          <w:rFonts w:eastAsia="Times New Roman" w:cs="Times New Roman"/>
          <w:b/>
          <w:szCs w:val="24"/>
          <w:u w:val="single"/>
        </w:rPr>
      </w:pPr>
      <w:r>
        <w:rPr>
          <w:rFonts w:eastAsia="Times New Roman" w:cs="Times New Roman"/>
          <w:szCs w:val="24"/>
        </w:rPr>
        <w:pict w14:anchorId="3658129E">
          <v:rect id="_x0000_i1025" style="width:0;height:.75pt" o:hralign="center" o:hrstd="t" o:hrnoshade="t" o:hr="t" fillcolor="black" stroked="f"/>
        </w:pict>
      </w:r>
    </w:p>
    <w:p w14:paraId="5BE05552" w14:textId="2C4280FF" w:rsidR="001903AA" w:rsidRPr="001903AA" w:rsidRDefault="001903AA" w:rsidP="001903AA">
      <w:pPr>
        <w:shd w:val="clear" w:color="auto" w:fill="FFFFFF"/>
        <w:spacing w:after="225" w:line="360" w:lineRule="atLeast"/>
        <w:contextualSpacing w:val="0"/>
        <w:outlineLvl w:val="3"/>
        <w:rPr>
          <w:rFonts w:ascii="Open Sans" w:eastAsia="Times New Roman" w:hAnsi="Open Sans" w:cs="Times New Roman"/>
          <w:b/>
          <w:bCs/>
          <w:color w:val="231F20"/>
          <w:sz w:val="26"/>
          <w:szCs w:val="26"/>
          <w:u w:val="single"/>
        </w:rPr>
      </w:pPr>
      <w:r w:rsidRPr="001903AA">
        <w:rPr>
          <w:rFonts w:ascii="Open Sans" w:eastAsia="Times New Roman" w:hAnsi="Open Sans" w:cs="Times New Roman"/>
          <w:b/>
          <w:bCs/>
          <w:color w:val="231F20"/>
          <w:sz w:val="26"/>
          <w:szCs w:val="26"/>
          <w:u w:val="single"/>
        </w:rPr>
        <w:t>Questions:</w:t>
      </w:r>
    </w:p>
    <w:p w14:paraId="4835FF5F" w14:textId="77777777" w:rsidR="001903AA" w:rsidRDefault="001903AA" w:rsidP="001903AA">
      <w:pPr>
        <w:numPr>
          <w:ilvl w:val="0"/>
          <w:numId w:val="7"/>
        </w:numPr>
        <w:shd w:val="clear" w:color="auto" w:fill="FFFFFF"/>
        <w:spacing w:after="300" w:line="300" w:lineRule="atLeast"/>
        <w:contextualSpacing w:val="0"/>
        <w:rPr>
          <w:rFonts w:ascii="Open Sans" w:eastAsia="Times New Roman" w:hAnsi="Open Sans" w:cs="Times New Roman"/>
          <w:color w:val="000000"/>
          <w:sz w:val="23"/>
          <w:szCs w:val="23"/>
        </w:rPr>
      </w:pPr>
      <w:r w:rsidRPr="001903AA">
        <w:rPr>
          <w:rFonts w:ascii="Open Sans" w:eastAsia="Times New Roman" w:hAnsi="Open Sans" w:cs="Times New Roman"/>
          <w:color w:val="000000"/>
          <w:sz w:val="23"/>
          <w:szCs w:val="23"/>
        </w:rPr>
        <w:t>In the majority opinion, the Court recognized the need to balance the specific rights in conflict in this case. What rights are in conflict here?</w:t>
      </w:r>
    </w:p>
    <w:p w14:paraId="0E5B816B" w14:textId="77777777" w:rsidR="001903AA" w:rsidRDefault="001903AA" w:rsidP="001903AA">
      <w:pPr>
        <w:shd w:val="clear" w:color="auto" w:fill="FFFFFF"/>
        <w:spacing w:after="300" w:line="300" w:lineRule="atLeast"/>
        <w:contextualSpacing w:val="0"/>
        <w:rPr>
          <w:rFonts w:ascii="Open Sans" w:eastAsia="Times New Roman" w:hAnsi="Open Sans" w:cs="Times New Roman"/>
          <w:color w:val="000000"/>
          <w:sz w:val="23"/>
          <w:szCs w:val="23"/>
        </w:rPr>
      </w:pPr>
    </w:p>
    <w:p w14:paraId="5A92B5C1" w14:textId="77777777" w:rsidR="001903AA" w:rsidRDefault="001903AA" w:rsidP="001903AA">
      <w:pPr>
        <w:numPr>
          <w:ilvl w:val="0"/>
          <w:numId w:val="7"/>
        </w:numPr>
        <w:shd w:val="clear" w:color="auto" w:fill="FFFFFF"/>
        <w:spacing w:after="300" w:line="300" w:lineRule="atLeast"/>
        <w:contextualSpacing w:val="0"/>
        <w:rPr>
          <w:rFonts w:ascii="Open Sans" w:eastAsia="Times New Roman" w:hAnsi="Open Sans" w:cs="Times New Roman"/>
          <w:color w:val="000000"/>
          <w:sz w:val="23"/>
          <w:szCs w:val="23"/>
        </w:rPr>
      </w:pPr>
      <w:r w:rsidRPr="001903AA">
        <w:rPr>
          <w:rFonts w:ascii="Open Sans" w:eastAsia="Times New Roman" w:hAnsi="Open Sans" w:cs="Times New Roman"/>
          <w:color w:val="000000"/>
          <w:sz w:val="23"/>
          <w:szCs w:val="23"/>
        </w:rPr>
        <w:t>According to the decision, what must a school prove in order to justify a rule prohibiting its students' rights to free speech?</w:t>
      </w:r>
    </w:p>
    <w:p w14:paraId="5C79653A" w14:textId="77777777" w:rsidR="001903AA" w:rsidRPr="001903AA" w:rsidRDefault="001903AA" w:rsidP="001903AA">
      <w:pPr>
        <w:shd w:val="clear" w:color="auto" w:fill="FFFFFF"/>
        <w:spacing w:after="300" w:line="300" w:lineRule="atLeast"/>
        <w:contextualSpacing w:val="0"/>
        <w:rPr>
          <w:rFonts w:ascii="Open Sans" w:eastAsia="Times New Roman" w:hAnsi="Open Sans" w:cs="Times New Roman"/>
          <w:color w:val="000000"/>
          <w:sz w:val="23"/>
          <w:szCs w:val="23"/>
        </w:rPr>
      </w:pPr>
    </w:p>
    <w:p w14:paraId="49538993" w14:textId="77777777" w:rsidR="001903AA" w:rsidRDefault="001903AA" w:rsidP="001903AA">
      <w:pPr>
        <w:numPr>
          <w:ilvl w:val="0"/>
          <w:numId w:val="7"/>
        </w:numPr>
        <w:shd w:val="clear" w:color="auto" w:fill="FFFFFF"/>
        <w:spacing w:after="300" w:line="300" w:lineRule="atLeast"/>
        <w:contextualSpacing w:val="0"/>
        <w:rPr>
          <w:rFonts w:ascii="Open Sans" w:eastAsia="Times New Roman" w:hAnsi="Open Sans" w:cs="Times New Roman"/>
          <w:color w:val="000000"/>
          <w:sz w:val="23"/>
          <w:szCs w:val="23"/>
        </w:rPr>
      </w:pPr>
      <w:r w:rsidRPr="001903AA">
        <w:rPr>
          <w:rFonts w:ascii="Open Sans" w:eastAsia="Times New Roman" w:hAnsi="Open Sans" w:cs="Times New Roman"/>
          <w:color w:val="000000"/>
          <w:sz w:val="23"/>
          <w:szCs w:val="23"/>
        </w:rPr>
        <w:t>Students in the Des Moines schools were permitted to wear other symbols of political statements such as presidential campaign buttons. Why was this significant to the Court?</w:t>
      </w:r>
    </w:p>
    <w:p w14:paraId="3ADBC5C2" w14:textId="77777777" w:rsidR="001903AA" w:rsidRPr="001903AA" w:rsidRDefault="001903AA" w:rsidP="001903AA">
      <w:pPr>
        <w:shd w:val="clear" w:color="auto" w:fill="FFFFFF"/>
        <w:spacing w:after="300" w:line="300" w:lineRule="atLeast"/>
        <w:contextualSpacing w:val="0"/>
        <w:rPr>
          <w:rFonts w:ascii="Open Sans" w:eastAsia="Times New Roman" w:hAnsi="Open Sans" w:cs="Times New Roman"/>
          <w:color w:val="000000"/>
          <w:sz w:val="23"/>
          <w:szCs w:val="23"/>
        </w:rPr>
      </w:pPr>
    </w:p>
    <w:p w14:paraId="24D1ABCA" w14:textId="77777777" w:rsidR="001903AA" w:rsidRPr="001903AA" w:rsidRDefault="001903AA" w:rsidP="001903AA">
      <w:pPr>
        <w:numPr>
          <w:ilvl w:val="0"/>
          <w:numId w:val="7"/>
        </w:numPr>
        <w:shd w:val="clear" w:color="auto" w:fill="FFFFFF"/>
        <w:spacing w:after="300" w:line="300" w:lineRule="atLeast"/>
        <w:contextualSpacing w:val="0"/>
        <w:rPr>
          <w:rFonts w:ascii="Open Sans" w:eastAsia="Times New Roman" w:hAnsi="Open Sans" w:cs="Times New Roman"/>
          <w:color w:val="000000"/>
          <w:sz w:val="23"/>
          <w:szCs w:val="23"/>
        </w:rPr>
      </w:pPr>
      <w:proofErr w:type="gramStart"/>
      <w:r w:rsidRPr="001903AA">
        <w:rPr>
          <w:rFonts w:ascii="Open Sans" w:eastAsia="Times New Roman" w:hAnsi="Open Sans" w:cs="Times New Roman"/>
          <w:color w:val="000000"/>
          <w:sz w:val="23"/>
          <w:szCs w:val="23"/>
        </w:rPr>
        <w:lastRenderedPageBreak/>
        <w:t>In light of</w:t>
      </w:r>
      <w:proofErr w:type="gramEnd"/>
      <w:r w:rsidRPr="001903AA">
        <w:rPr>
          <w:rFonts w:ascii="Open Sans" w:eastAsia="Times New Roman" w:hAnsi="Open Sans" w:cs="Times New Roman"/>
          <w:color w:val="000000"/>
          <w:sz w:val="23"/>
          <w:szCs w:val="23"/>
        </w:rPr>
        <w:t xml:space="preserve"> this decision, what are some situations when the Supreme Court of the United States might allow the school district to restrict students' free speech?</w:t>
      </w:r>
    </w:p>
    <w:p w14:paraId="6B1F0391" w14:textId="01FAED39" w:rsidR="00EC6428" w:rsidRDefault="00762628" w:rsidP="001903AA">
      <w:pPr>
        <w:pStyle w:val="Body115"/>
        <w:jc w:val="left"/>
        <w:rPr>
          <w:color w:val="000000"/>
        </w:rPr>
      </w:pPr>
      <w:r w:rsidRPr="00EC6428">
        <w:rPr>
          <w:color w:val="000000"/>
        </w:rPr>
        <w:t xml:space="preserve"> </w:t>
      </w:r>
    </w:p>
    <w:p w14:paraId="1C3E651E" w14:textId="77777777" w:rsidR="001903AA" w:rsidRPr="00EC6428" w:rsidRDefault="001903AA" w:rsidP="001903AA">
      <w:pPr>
        <w:pStyle w:val="Body115"/>
        <w:jc w:val="left"/>
        <w:rPr>
          <w:color w:val="000000"/>
        </w:rPr>
      </w:pPr>
    </w:p>
    <w:sectPr w:rsidR="001903AA" w:rsidRPr="00EC642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E8995" w14:textId="77777777" w:rsidR="00440FA5" w:rsidRDefault="00440FA5" w:rsidP="00F1514F">
      <w:pPr>
        <w:spacing w:line="240" w:lineRule="auto"/>
      </w:pPr>
      <w:r>
        <w:separator/>
      </w:r>
    </w:p>
  </w:endnote>
  <w:endnote w:type="continuationSeparator" w:id="0">
    <w:p w14:paraId="1071E7C8" w14:textId="77777777" w:rsidR="00440FA5" w:rsidRDefault="00440FA5" w:rsidP="00F15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545E3" w14:textId="77777777" w:rsidR="00440FA5" w:rsidRDefault="00440FA5" w:rsidP="00F1514F">
      <w:pPr>
        <w:spacing w:line="240" w:lineRule="auto"/>
      </w:pPr>
      <w:r>
        <w:separator/>
      </w:r>
    </w:p>
  </w:footnote>
  <w:footnote w:type="continuationSeparator" w:id="0">
    <w:p w14:paraId="3CF19FAB" w14:textId="77777777" w:rsidR="00440FA5" w:rsidRDefault="00440FA5" w:rsidP="00F151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18B7" w14:textId="77777777" w:rsidR="00F1514F" w:rsidRDefault="00F1514F">
    <w:pPr>
      <w:pStyle w:val="Header"/>
    </w:pPr>
    <w:r>
      <w:t>Name _______________________________</w:t>
    </w:r>
    <w:r>
      <w:tab/>
      <w:t>____   Date ______________    Period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30DCF"/>
    <w:multiLevelType w:val="multilevel"/>
    <w:tmpl w:val="E27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E4BD2"/>
    <w:multiLevelType w:val="hybridMultilevel"/>
    <w:tmpl w:val="E0F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F0A59"/>
    <w:multiLevelType w:val="hybridMultilevel"/>
    <w:tmpl w:val="6CC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6E33"/>
    <w:multiLevelType w:val="multilevel"/>
    <w:tmpl w:val="CF7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53E40"/>
    <w:multiLevelType w:val="multilevel"/>
    <w:tmpl w:val="A1D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16661"/>
    <w:multiLevelType w:val="hybridMultilevel"/>
    <w:tmpl w:val="BC628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333ED"/>
    <w:multiLevelType w:val="multilevel"/>
    <w:tmpl w:val="70AE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4F"/>
    <w:rsid w:val="00042789"/>
    <w:rsid w:val="00072247"/>
    <w:rsid w:val="00097FC7"/>
    <w:rsid w:val="000C13C2"/>
    <w:rsid w:val="000F65C2"/>
    <w:rsid w:val="001034AE"/>
    <w:rsid w:val="0012268A"/>
    <w:rsid w:val="001903AA"/>
    <w:rsid w:val="001D4111"/>
    <w:rsid w:val="001F441F"/>
    <w:rsid w:val="002277D2"/>
    <w:rsid w:val="0023062F"/>
    <w:rsid w:val="00265AAF"/>
    <w:rsid w:val="00272DAB"/>
    <w:rsid w:val="002740BE"/>
    <w:rsid w:val="002754AD"/>
    <w:rsid w:val="002974B2"/>
    <w:rsid w:val="002F4483"/>
    <w:rsid w:val="0030404A"/>
    <w:rsid w:val="00317BCD"/>
    <w:rsid w:val="0034324A"/>
    <w:rsid w:val="003B058F"/>
    <w:rsid w:val="003F1C95"/>
    <w:rsid w:val="00435309"/>
    <w:rsid w:val="004369D2"/>
    <w:rsid w:val="00440FA5"/>
    <w:rsid w:val="004744CC"/>
    <w:rsid w:val="004E62A7"/>
    <w:rsid w:val="004F68FC"/>
    <w:rsid w:val="005462FD"/>
    <w:rsid w:val="005738D9"/>
    <w:rsid w:val="0063390C"/>
    <w:rsid w:val="00682F6E"/>
    <w:rsid w:val="006A3487"/>
    <w:rsid w:val="006D1F0F"/>
    <w:rsid w:val="006E0786"/>
    <w:rsid w:val="006E1F9D"/>
    <w:rsid w:val="0070071A"/>
    <w:rsid w:val="00762628"/>
    <w:rsid w:val="007749D7"/>
    <w:rsid w:val="007A429C"/>
    <w:rsid w:val="00827C48"/>
    <w:rsid w:val="008732B5"/>
    <w:rsid w:val="008765EE"/>
    <w:rsid w:val="00925455"/>
    <w:rsid w:val="009621EF"/>
    <w:rsid w:val="00977ECE"/>
    <w:rsid w:val="009840A2"/>
    <w:rsid w:val="00996923"/>
    <w:rsid w:val="00A4651E"/>
    <w:rsid w:val="00AA41F2"/>
    <w:rsid w:val="00AC7613"/>
    <w:rsid w:val="00B6345E"/>
    <w:rsid w:val="00B76617"/>
    <w:rsid w:val="00BA4E41"/>
    <w:rsid w:val="00BB5375"/>
    <w:rsid w:val="00C330D2"/>
    <w:rsid w:val="00C87728"/>
    <w:rsid w:val="00CF069C"/>
    <w:rsid w:val="00CF79D2"/>
    <w:rsid w:val="00E04DEB"/>
    <w:rsid w:val="00E1357B"/>
    <w:rsid w:val="00EC6428"/>
    <w:rsid w:val="00F1514F"/>
    <w:rsid w:val="00F92ECF"/>
    <w:rsid w:val="00F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09185B"/>
  <w15:chartTrackingRefBased/>
  <w15:docId w15:val="{D34DE2BE-86E4-4922-AD37-B96EA181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1">
    <w:name w:val="heading 1"/>
    <w:basedOn w:val="Normal"/>
    <w:link w:val="Heading1Char"/>
    <w:uiPriority w:val="9"/>
    <w:qFormat/>
    <w:rsid w:val="00F1514F"/>
    <w:pPr>
      <w:spacing w:before="100" w:beforeAutospacing="1" w:after="100" w:afterAutospacing="1" w:line="240" w:lineRule="auto"/>
      <w:contextualSpacing w:val="0"/>
      <w:outlineLvl w:val="0"/>
    </w:pPr>
    <w:rPr>
      <w:rFonts w:eastAsia="Times New Roman" w:cs="Times New Roman"/>
      <w:b/>
      <w:bCs/>
      <w:kern w:val="36"/>
      <w:sz w:val="48"/>
      <w:szCs w:val="48"/>
    </w:rPr>
  </w:style>
  <w:style w:type="paragraph" w:styleId="Heading4">
    <w:name w:val="heading 4"/>
    <w:basedOn w:val="Normal"/>
    <w:link w:val="Heading4Char"/>
    <w:uiPriority w:val="9"/>
    <w:qFormat/>
    <w:rsid w:val="00F1514F"/>
    <w:pPr>
      <w:spacing w:before="100" w:beforeAutospacing="1" w:after="100" w:afterAutospacing="1" w:line="240" w:lineRule="auto"/>
      <w:contextualSpacing w:val="0"/>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1903AA"/>
    <w:pPr>
      <w:contextualSpacing w:val="0"/>
      <w:jc w:val="center"/>
    </w:pPr>
    <w:rPr>
      <w:rFonts w:eastAsia="Times New Roman"/>
      <w:b/>
      <w:u w:val="single"/>
    </w:rPr>
  </w:style>
  <w:style w:type="character" w:customStyle="1" w:styleId="Body115Char">
    <w:name w:val="Body 1.15 Char"/>
    <w:basedOn w:val="DefaultParagraphFont"/>
    <w:link w:val="Body115"/>
    <w:rsid w:val="001903AA"/>
    <w:rPr>
      <w:rFonts w:ascii="Times New Roman" w:eastAsia="Times New Roman" w:hAnsi="Times New Roman"/>
      <w:b/>
      <w:sz w:val="24"/>
      <w:u w:val="single"/>
    </w:rPr>
  </w:style>
  <w:style w:type="character" w:customStyle="1" w:styleId="Heading1Char">
    <w:name w:val="Heading 1 Char"/>
    <w:basedOn w:val="DefaultParagraphFont"/>
    <w:link w:val="Heading1"/>
    <w:uiPriority w:val="9"/>
    <w:rsid w:val="00F151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51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514F"/>
    <w:pPr>
      <w:spacing w:before="100" w:beforeAutospacing="1" w:after="100" w:afterAutospacing="1" w:line="240" w:lineRule="auto"/>
      <w:contextualSpacing w:val="0"/>
    </w:pPr>
    <w:rPr>
      <w:rFonts w:eastAsia="Times New Roman" w:cs="Times New Roman"/>
      <w:szCs w:val="24"/>
    </w:rPr>
  </w:style>
  <w:style w:type="character" w:styleId="Emphasis">
    <w:name w:val="Emphasis"/>
    <w:basedOn w:val="DefaultParagraphFont"/>
    <w:uiPriority w:val="20"/>
    <w:qFormat/>
    <w:rsid w:val="00F1514F"/>
    <w:rPr>
      <w:i/>
      <w:iCs/>
    </w:rPr>
  </w:style>
  <w:style w:type="paragraph" w:styleId="Header">
    <w:name w:val="header"/>
    <w:basedOn w:val="Normal"/>
    <w:link w:val="HeaderChar"/>
    <w:uiPriority w:val="99"/>
    <w:unhideWhenUsed/>
    <w:rsid w:val="00F1514F"/>
    <w:pPr>
      <w:tabs>
        <w:tab w:val="center" w:pos="4680"/>
        <w:tab w:val="right" w:pos="9360"/>
      </w:tabs>
      <w:spacing w:line="240" w:lineRule="auto"/>
    </w:pPr>
  </w:style>
  <w:style w:type="character" w:customStyle="1" w:styleId="HeaderChar">
    <w:name w:val="Header Char"/>
    <w:basedOn w:val="DefaultParagraphFont"/>
    <w:link w:val="Header"/>
    <w:uiPriority w:val="99"/>
    <w:rsid w:val="00F1514F"/>
    <w:rPr>
      <w:rFonts w:ascii="Times New Roman" w:hAnsi="Times New Roman"/>
      <w:sz w:val="24"/>
    </w:rPr>
  </w:style>
  <w:style w:type="paragraph" w:styleId="Footer">
    <w:name w:val="footer"/>
    <w:basedOn w:val="Normal"/>
    <w:link w:val="FooterChar"/>
    <w:uiPriority w:val="99"/>
    <w:unhideWhenUsed/>
    <w:rsid w:val="00F1514F"/>
    <w:pPr>
      <w:tabs>
        <w:tab w:val="center" w:pos="4680"/>
        <w:tab w:val="right" w:pos="9360"/>
      </w:tabs>
      <w:spacing w:line="240" w:lineRule="auto"/>
    </w:pPr>
  </w:style>
  <w:style w:type="character" w:customStyle="1" w:styleId="FooterChar">
    <w:name w:val="Footer Char"/>
    <w:basedOn w:val="DefaultParagraphFont"/>
    <w:link w:val="Footer"/>
    <w:uiPriority w:val="99"/>
    <w:rsid w:val="00F1514F"/>
    <w:rPr>
      <w:rFonts w:ascii="Times New Roman" w:hAnsi="Times New Roman"/>
      <w:sz w:val="24"/>
    </w:rPr>
  </w:style>
  <w:style w:type="paragraph" w:styleId="ListParagraph">
    <w:name w:val="List Paragraph"/>
    <w:basedOn w:val="Normal"/>
    <w:uiPriority w:val="34"/>
    <w:qFormat/>
    <w:rsid w:val="009621EF"/>
    <w:pPr>
      <w:ind w:left="720"/>
    </w:pPr>
  </w:style>
  <w:style w:type="character" w:styleId="CommentReference">
    <w:name w:val="annotation reference"/>
    <w:basedOn w:val="DefaultParagraphFont"/>
    <w:uiPriority w:val="99"/>
    <w:semiHidden/>
    <w:unhideWhenUsed/>
    <w:rsid w:val="002974B2"/>
    <w:rPr>
      <w:sz w:val="16"/>
      <w:szCs w:val="16"/>
    </w:rPr>
  </w:style>
  <w:style w:type="paragraph" w:styleId="CommentText">
    <w:name w:val="annotation text"/>
    <w:basedOn w:val="Normal"/>
    <w:link w:val="CommentTextChar"/>
    <w:uiPriority w:val="99"/>
    <w:semiHidden/>
    <w:unhideWhenUsed/>
    <w:rsid w:val="002974B2"/>
    <w:pPr>
      <w:spacing w:line="240" w:lineRule="auto"/>
    </w:pPr>
    <w:rPr>
      <w:sz w:val="20"/>
      <w:szCs w:val="20"/>
    </w:rPr>
  </w:style>
  <w:style w:type="character" w:customStyle="1" w:styleId="CommentTextChar">
    <w:name w:val="Comment Text Char"/>
    <w:basedOn w:val="DefaultParagraphFont"/>
    <w:link w:val="CommentText"/>
    <w:uiPriority w:val="99"/>
    <w:semiHidden/>
    <w:rsid w:val="002974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4B2"/>
    <w:rPr>
      <w:b/>
      <w:bCs/>
    </w:rPr>
  </w:style>
  <w:style w:type="character" w:customStyle="1" w:styleId="CommentSubjectChar">
    <w:name w:val="Comment Subject Char"/>
    <w:basedOn w:val="CommentTextChar"/>
    <w:link w:val="CommentSubject"/>
    <w:uiPriority w:val="99"/>
    <w:semiHidden/>
    <w:rsid w:val="002974B2"/>
    <w:rPr>
      <w:rFonts w:ascii="Times New Roman" w:hAnsi="Times New Roman"/>
      <w:b/>
      <w:bCs/>
      <w:sz w:val="20"/>
      <w:szCs w:val="20"/>
    </w:rPr>
  </w:style>
  <w:style w:type="paragraph" w:styleId="BalloonText">
    <w:name w:val="Balloon Text"/>
    <w:basedOn w:val="Normal"/>
    <w:link w:val="BalloonTextChar"/>
    <w:uiPriority w:val="99"/>
    <w:semiHidden/>
    <w:unhideWhenUsed/>
    <w:rsid w:val="002974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4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0206">
      <w:bodyDiv w:val="1"/>
      <w:marLeft w:val="0"/>
      <w:marRight w:val="0"/>
      <w:marTop w:val="0"/>
      <w:marBottom w:val="0"/>
      <w:divBdr>
        <w:top w:val="none" w:sz="0" w:space="0" w:color="auto"/>
        <w:left w:val="none" w:sz="0" w:space="0" w:color="auto"/>
        <w:bottom w:val="none" w:sz="0" w:space="0" w:color="auto"/>
        <w:right w:val="none" w:sz="0" w:space="0" w:color="auto"/>
      </w:divBdr>
      <w:divsChild>
        <w:div w:id="2136872567">
          <w:marLeft w:val="0"/>
          <w:marRight w:val="0"/>
          <w:marTop w:val="0"/>
          <w:marBottom w:val="0"/>
          <w:divBdr>
            <w:top w:val="none" w:sz="0" w:space="0" w:color="auto"/>
            <w:left w:val="none" w:sz="0" w:space="0" w:color="auto"/>
            <w:bottom w:val="none" w:sz="0" w:space="0" w:color="auto"/>
            <w:right w:val="none" w:sz="0" w:space="0" w:color="auto"/>
          </w:divBdr>
          <w:divsChild>
            <w:div w:id="765151607">
              <w:marLeft w:val="-225"/>
              <w:marRight w:val="-225"/>
              <w:marTop w:val="0"/>
              <w:marBottom w:val="0"/>
              <w:divBdr>
                <w:top w:val="none" w:sz="0" w:space="0" w:color="auto"/>
                <w:left w:val="none" w:sz="0" w:space="0" w:color="auto"/>
                <w:bottom w:val="none" w:sz="0" w:space="0" w:color="auto"/>
                <w:right w:val="none" w:sz="0" w:space="0" w:color="auto"/>
              </w:divBdr>
              <w:divsChild>
                <w:div w:id="25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713">
          <w:marLeft w:val="0"/>
          <w:marRight w:val="0"/>
          <w:marTop w:val="0"/>
          <w:marBottom w:val="0"/>
          <w:divBdr>
            <w:top w:val="none" w:sz="0" w:space="0" w:color="auto"/>
            <w:left w:val="none" w:sz="0" w:space="0" w:color="auto"/>
            <w:bottom w:val="none" w:sz="0" w:space="0" w:color="auto"/>
            <w:right w:val="none" w:sz="0" w:space="0" w:color="auto"/>
          </w:divBdr>
          <w:divsChild>
            <w:div w:id="1290621816">
              <w:marLeft w:val="-225"/>
              <w:marRight w:val="-225"/>
              <w:marTop w:val="0"/>
              <w:marBottom w:val="0"/>
              <w:divBdr>
                <w:top w:val="none" w:sz="0" w:space="0" w:color="auto"/>
                <w:left w:val="none" w:sz="0" w:space="0" w:color="auto"/>
                <w:bottom w:val="none" w:sz="0" w:space="0" w:color="auto"/>
                <w:right w:val="none" w:sz="0" w:space="0" w:color="auto"/>
              </w:divBdr>
              <w:divsChild>
                <w:div w:id="1362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0290">
      <w:bodyDiv w:val="1"/>
      <w:marLeft w:val="0"/>
      <w:marRight w:val="0"/>
      <w:marTop w:val="0"/>
      <w:marBottom w:val="0"/>
      <w:divBdr>
        <w:top w:val="none" w:sz="0" w:space="0" w:color="auto"/>
        <w:left w:val="none" w:sz="0" w:space="0" w:color="auto"/>
        <w:bottom w:val="none" w:sz="0" w:space="0" w:color="auto"/>
        <w:right w:val="none" w:sz="0" w:space="0" w:color="auto"/>
      </w:divBdr>
    </w:div>
    <w:div w:id="708918693">
      <w:bodyDiv w:val="1"/>
      <w:marLeft w:val="0"/>
      <w:marRight w:val="0"/>
      <w:marTop w:val="0"/>
      <w:marBottom w:val="0"/>
      <w:divBdr>
        <w:top w:val="none" w:sz="0" w:space="0" w:color="auto"/>
        <w:left w:val="none" w:sz="0" w:space="0" w:color="auto"/>
        <w:bottom w:val="none" w:sz="0" w:space="0" w:color="auto"/>
        <w:right w:val="none" w:sz="0" w:space="0" w:color="auto"/>
      </w:divBdr>
    </w:div>
    <w:div w:id="16619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28EAB-D98C-45AE-9C55-D510867A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51</cp:revision>
  <dcterms:created xsi:type="dcterms:W3CDTF">2020-09-10T16:34:00Z</dcterms:created>
  <dcterms:modified xsi:type="dcterms:W3CDTF">2020-09-14T16:46:00Z</dcterms:modified>
</cp:coreProperties>
</file>