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по ВКР: неделя 1 (26.10–01.11.2026) и план работы</w:t>
      </w:r>
    </w:p>
    <w:p>
      <w:r>
        <w:rPr>
          <w:b/>
        </w:rPr>
        <w:t>Тема ВКР:</w:t>
      </w:r>
      <w:r>
        <w:t xml:space="preserve"> Разработка и исследование методов выявления вредоносного кода на основе машинного обучения</w:t>
      </w:r>
    </w:p>
    <w:p>
      <w:r>
        <w:rPr>
          <w:b/>
        </w:rPr>
        <w:t>Уровень:</w:t>
      </w:r>
      <w:r>
        <w:t xml:space="preserve"> специалитет. </w:t>
      </w:r>
      <w:r>
        <w:rPr>
          <w:b/>
        </w:rPr>
        <w:t>Объём основного текста:</w:t>
      </w:r>
      <w:r>
        <w:t xml:space="preserve"> 50–60 с. (титул, задание, реферат, список источников и приложения не входят). Код — в приложении.</w:t>
      </w:r>
    </w:p>
    <w:p>
      <w:r>
        <w:rPr>
          <w:b/>
        </w:rPr>
        <w:t>Внутренний срок готовности текста:</w:t>
      </w:r>
      <w:r>
        <w:t xml:space="preserve"> до 13.12.2026; январь — резерв.</w:t>
      </w:r>
    </w:p>
    <w:p>
      <w:pPr>
        <w:pStyle w:val="Heading2"/>
      </w:pPr>
      <w:r>
        <w:t>Общие правила</w:t>
      </w:r>
    </w:p>
    <w:p>
      <w:r>
        <w:t>1. Текст ВКР пишется самостоятельно. Инструменты ИИ для текста не используются.</w:t>
      </w:r>
    </w:p>
    <w:p>
      <w:r>
        <w:t>2. Код, написанный ранее совместно с ИИ, разрешено использовать при одном условии: каждый используемый скрипт ты понимаешь и можешь объяснить устно.</w:t>
      </w:r>
    </w:p>
    <w:p>
      <w:r>
        <w:t>3. Исходный файл датасета не изменяется. Все производные данные кладутся в отдельную папку.</w:t>
      </w:r>
    </w:p>
    <w:p>
      <w:r>
        <w:t xml:space="preserve">4. Каждый запуск записывается в таблицу </w:t>
      </w:r>
      <w:r>
        <w:rPr>
          <w:rFonts w:ascii="Courier New" w:hAnsi="Courier New"/>
        </w:rPr>
        <w:t>EXPERIMENTS.csv</w:t>
      </w:r>
      <w:r>
        <w:t>: дата, скрипт, конфиг/параметры, seed, версия данных, метрики, путь к логу. Неудачные запуски тоже записываются.</w:t>
      </w:r>
    </w:p>
    <w:p>
      <w:r>
        <w:t>5. Тестовая часть не используется для выбора порога, гиперпараметров и эпохи. Для этого есть только валидационная часть.</w:t>
      </w:r>
    </w:p>
    <w:p>
      <w:pPr>
        <w:pStyle w:val="Heading2"/>
      </w:pPr>
      <w:r>
        <w:t>Задание на неделю 1 (сдать до 01.11, вс)</w:t>
      </w:r>
    </w:p>
    <w:p>
      <w:pPr>
        <w:pStyle w:val="Heading3"/>
      </w:pPr>
      <w:r>
        <w:t>Задача 1. Аудит дублей в MalBehavD-V1</w:t>
      </w:r>
    </w:p>
    <w:p>
      <w:pPr>
        <w:pStyle w:val="ListBullet"/>
      </w:pPr>
      <w:r>
        <w:t>Для каждой строки собрать последовательность API-вызовов (без пустых хвостов) и посчитать её хэш.</w:t>
      </w:r>
    </w:p>
    <w:p>
      <w:pPr>
        <w:pStyle w:val="ListBullet"/>
      </w:pPr>
      <w:r>
        <w:t>Посчитать: общее число строк; число уникальных последовательностей, всего и по классам; число строк, входящих в группы дублей, по классам; размеры 5 самых больших групп; число последовательностей, встречающихся с разными метками.</w:t>
      </w:r>
    </w:p>
    <w:p>
      <w:pPr>
        <w:pStyle w:val="ListBullet"/>
      </w:pPr>
      <w:r>
        <w:rPr>
          <w:b/>
        </w:rPr>
        <w:t>Результат:</w:t>
      </w:r>
      <w:r>
        <w:t xml:space="preserve"> таблица и 1 абзац своими словами о том, что это значит для оценки моделей.</w:t>
      </w:r>
    </w:p>
    <w:p>
      <w:pPr>
        <w:pStyle w:val="Heading3"/>
      </w:pPr>
      <w:r>
        <w:t>Задача 2. Проверка утечки в текущей схеме</w:t>
      </w:r>
    </w:p>
    <w:p>
      <w:pPr>
        <w:pStyle w:val="ListBullet"/>
      </w:pPr>
      <w:r>
        <w:t xml:space="preserve">Для схемы </w:t>
      </w:r>
      <w:r>
        <w:rPr>
          <w:rFonts w:ascii="Courier New" w:hAnsi="Courier New"/>
        </w:rPr>
        <w:t>run_splits.py</w:t>
      </w:r>
      <w:r>
        <w:t xml:space="preserve"> (900 на класс в train, seed 42–46) посчитать долю оценочных строк, у которых точная копия последовательности есть в train.</w:t>
      </w:r>
    </w:p>
    <w:p>
      <w:pPr>
        <w:pStyle w:val="ListBullet"/>
      </w:pPr>
      <w:r>
        <w:rPr>
          <w:b/>
        </w:rPr>
        <w:t>Результат:</w:t>
      </w:r>
      <w:r>
        <w:t xml:space="preserve"> 5 чисел (по seed) и вывод.</w:t>
      </w:r>
    </w:p>
    <w:p>
      <w:pPr>
        <w:pStyle w:val="Heading3"/>
      </w:pPr>
      <w:r>
        <w:t>Задача 3. Групповое разбиение</w:t>
      </w:r>
    </w:p>
    <w:p>
      <w:pPr>
        <w:pStyle w:val="ListBullet"/>
      </w:pPr>
      <w:r>
        <w:t xml:space="preserve">Сделать разбиение, при котором одинаковые последовательности целиком попадают либо в train, либо в validation/test. Например, </w:t>
      </w:r>
      <w:r>
        <w:rPr>
          <w:rFonts w:ascii="Courier New" w:hAnsi="Courier New"/>
        </w:rPr>
        <w:t>StratifiedGroupKFold</w:t>
      </w:r>
      <w:r>
        <w:t xml:space="preserve"> из scikit-learn с группой = хэш последовательности.</w:t>
      </w:r>
    </w:p>
    <w:p>
      <w:pPr>
        <w:pStyle w:val="ListBullet"/>
      </w:pPr>
      <w:r>
        <w:t>Последовательности с конфликтующими метками исключить и записать, сколько исключено.</w:t>
      </w:r>
    </w:p>
    <w:p>
      <w:pPr>
        <w:pStyle w:val="ListBullet"/>
      </w:pPr>
      <w:r>
        <w:t>Словарь API строить только по train-части каждого разбиения.</w:t>
      </w:r>
    </w:p>
    <w:p>
      <w:pPr>
        <w:pStyle w:val="ListBullet"/>
      </w:pPr>
      <w:r>
        <w:rPr>
          <w:b/>
        </w:rPr>
        <w:t>Результат:</w:t>
      </w:r>
      <w:r>
        <w:t xml:space="preserve"> описание процедуры (5–7 предложений) и файлы с индексами разбиений.</w:t>
      </w:r>
    </w:p>
    <w:p>
      <w:pPr>
        <w:pStyle w:val="Heading3"/>
      </w:pPr>
      <w:r>
        <w:t>Задача 4. Два протокола × две модели (проверка гипотезы H1)</w:t>
      </w:r>
    </w:p>
    <w:p>
      <w:pPr>
        <w:pStyle w:val="ListBullet"/>
      </w:pPr>
      <w:r>
        <w:t>Протокол A: случайное стратифицированное разбиение, как было. Протокол B: групповое разбиение из задачи 3. В каждом по 5 seed (или 5 фолдов).</w:t>
      </w:r>
    </w:p>
    <w:p>
      <w:pPr>
        <w:pStyle w:val="ListBullet"/>
      </w:pPr>
      <w:r>
        <w:t>Модель 1: TF-IDF по n-граммам API (n = 1–3) + логистическая регрессия.</w:t>
      </w:r>
    </w:p>
    <w:p>
      <w:pPr>
        <w:pStyle w:val="ListBullet"/>
      </w:pPr>
      <w:r>
        <w:t>Модель 2: текущий GINE, лучшая конфигурация из НИРС, без изменений архитектуры.</w:t>
      </w:r>
    </w:p>
    <w:p>
      <w:pPr>
        <w:pStyle w:val="ListBullet"/>
      </w:pPr>
      <w:r>
        <w:t>Метрики: MCC, PR-AUC, ROC-AUC, F1, FPR при TPR = 0,95. Порог подбирать только на validation.</w:t>
      </w:r>
    </w:p>
    <w:p>
      <w:pPr>
        <w:pStyle w:val="ListBullet"/>
      </w:pPr>
      <w:r>
        <w:rPr>
          <w:b/>
        </w:rPr>
        <w:t>Результат:</w:t>
      </w:r>
      <w:r>
        <w:t xml:space="preserve"> таблица «модель × протокол», среднее ± стандартное отклонение по seed; 1–2 абзаца собственной интерпретации.</w:t>
      </w:r>
    </w:p>
    <w:p>
      <w:pPr>
        <w:pStyle w:val="ListBullet"/>
      </w:pPr>
      <w:r>
        <w:rPr>
          <w:b/>
        </w:rPr>
        <w:t>Гипотеза H1:</w:t>
      </w:r>
      <w:r>
        <w:t xml:space="preserve"> при протоколе A метрики выше, чем при B. Если разница укладывается в разброс по seed, H1 не подтверждается. Это тоже результат, его нужно зафиксировать.</w:t>
      </w:r>
    </w:p>
    <w:p>
      <w:pPr>
        <w:pStyle w:val="Heading3"/>
      </w:pPr>
      <w:r>
        <w:t>Задача 5. Карта кода</w:t>
      </w:r>
    </w:p>
    <w:p>
      <w:pPr>
        <w:pStyle w:val="ListBullet"/>
      </w:pPr>
      <w:r>
        <w:t>Для каждого скрипта, который используется в работе (</w:t>
      </w:r>
      <w:r>
        <w:rPr>
          <w:rFonts w:ascii="Courier New" w:hAnsi="Courier New"/>
        </w:rPr>
        <w:t>train_gine.py</w:t>
      </w:r>
      <w:r>
        <w:t xml:space="preserve">, </w:t>
      </w:r>
      <w:r>
        <w:rPr>
          <w:rFonts w:ascii="Courier New" w:hAnsi="Courier New"/>
        </w:rPr>
        <w:t>predict_gine.py</w:t>
      </w:r>
      <w:r>
        <w:t xml:space="preserve">, </w:t>
      </w:r>
      <w:r>
        <w:rPr>
          <w:rFonts w:ascii="Courier New" w:hAnsi="Courier New"/>
        </w:rPr>
        <w:t>graph_data.py</w:t>
      </w:r>
      <w:r>
        <w:t xml:space="preserve">, </w:t>
      </w:r>
      <w:r>
        <w:rPr>
          <w:rFonts w:ascii="Courier New" w:hAnsi="Courier New"/>
        </w:rPr>
        <w:t>model.py</w:t>
      </w:r>
      <w:r>
        <w:t xml:space="preserve">, </w:t>
      </w:r>
      <w:r>
        <w:rPr>
          <w:rFonts w:ascii="Courier New" w:hAnsi="Courier New"/>
        </w:rPr>
        <w:t>trainer.py</w:t>
      </w:r>
      <w:r>
        <w:t xml:space="preserve">, </w:t>
      </w:r>
      <w:r>
        <w:rPr>
          <w:rFonts w:ascii="Courier New" w:hAnsi="Courier New"/>
        </w:rPr>
        <w:t>run_splits.py</w:t>
      </w:r>
      <w:r>
        <w:t xml:space="preserve">, </w:t>
      </w:r>
      <w:r>
        <w:rPr>
          <w:rFonts w:ascii="Courier New" w:hAnsi="Courier New"/>
        </w:rPr>
        <w:t>generation_quality_checks.py</w:t>
      </w:r>
      <w:r>
        <w:t xml:space="preserve">, </w:t>
      </w:r>
      <w:r>
        <w:rPr>
          <w:rFonts w:ascii="Courier New" w:hAnsi="Courier New"/>
        </w:rPr>
        <w:t>filter_synthetic_strict.py</w:t>
      </w:r>
      <w:r>
        <w:t>, скрипты подготовки данных для RelGAN и Diffusion-LM), написать своими словами: назначение; входы; выходы; ключевые параметры; что в нём может пойти не так.</w:t>
      </w:r>
    </w:p>
    <w:p>
      <w:pPr>
        <w:pStyle w:val="ListBullet"/>
      </w:pPr>
      <w:r>
        <w:rPr>
          <w:b/>
        </w:rPr>
        <w:t>Результат:</w:t>
      </w:r>
      <w:r>
        <w:t xml:space="preserve"> документ на 2–3 страницы. Его используем для подготовки к вопросам на защите.</w:t>
      </w:r>
    </w:p>
    <w:p>
      <w:pPr>
        <w:pStyle w:val="Heading3"/>
      </w:pPr>
      <w:r>
        <w:t>Задача 6. Чтение</w:t>
      </w:r>
    </w:p>
    <w:p>
      <w:r>
        <w:t>Прочитать и законспектировать своими словами, по полстраницы на работу:</w:t>
      </w:r>
    </w:p>
    <w:p>
      <w:r>
        <w:t>1. Arp et al. «Dos and Don'ts of Machine Learning in Computer Security»: раздел о типичных ошибках (sampling bias, data snooping и др.).</w:t>
      </w:r>
    </w:p>
    <w:p>
      <w:r>
        <w:t>2. Zhao et al., 2021, о влиянии дублей на детекцию malware.</w:t>
      </w:r>
    </w:p>
    <w:p>
      <w:r>
        <w:t>3. Maniriho et al., 2023 (API-MalDetect): как собран MalBehavD-V1 и как авторы оценивали модели.</w:t>
      </w:r>
    </w:p>
    <w:p>
      <w:r>
        <w:t>4. Pendlebury et al. (TESSERACT): идея временного и пространственного смещения.</w:t>
      </w:r>
    </w:p>
    <w:p>
      <w:r>
        <w:t xml:space="preserve">Полные ссылки — в файле </w:t>
      </w:r>
      <w:r>
        <w:rPr>
          <w:rFonts w:ascii="Courier New" w:hAnsi="Courier New"/>
        </w:rPr>
        <w:t>ЛИТЕРАТУРА.md</w:t>
      </w:r>
      <w:r>
        <w:t>.</w:t>
      </w:r>
    </w:p>
    <w:p>
      <w:pPr>
        <w:pStyle w:val="Heading3"/>
      </w:pPr>
      <w:r>
        <w:t>Задача 7. Текст</w:t>
      </w:r>
    </w:p>
    <w:p>
      <w:pPr>
        <w:pStyle w:val="ListBullet"/>
      </w:pPr>
      <w:r>
        <w:t>Оглавление ВКР с постраничным бюджетом (см. ниже).</w:t>
      </w:r>
    </w:p>
    <w:p>
      <w:pPr>
        <w:pStyle w:val="ListBullet"/>
      </w:pPr>
      <w:r>
        <w:t>Черновик введения, 1–2 страницы: актуальность, цель, задачи. Формулировки могут меняться.</w:t>
      </w:r>
    </w:p>
    <w:p>
      <w:pPr>
        <w:pStyle w:val="Heading3"/>
      </w:pPr>
      <w:r>
        <w:t>Что прислать к 01.11</w:t>
      </w:r>
    </w:p>
    <w:p>
      <w:r>
        <w:t xml:space="preserve">1. Таблицы задач 1, 2, 4 и </w:t>
      </w:r>
      <w:r>
        <w:rPr>
          <w:rFonts w:ascii="Courier New" w:hAnsi="Courier New"/>
        </w:rPr>
        <w:t>EXPERIMENTS.csv</w:t>
      </w:r>
      <w:r>
        <w:t>.</w:t>
      </w:r>
    </w:p>
    <w:p>
      <w:r>
        <w:t>2. Описание разбиения (задача 3).</w:t>
      </w:r>
    </w:p>
    <w:p>
      <w:r>
        <w:t>3. Карта кода (задача 5) и конспекты (задача 6).</w:t>
      </w:r>
    </w:p>
    <w:p>
      <w:r>
        <w:t>4. Оглавление и черновик введения.</w:t>
      </w:r>
    </w:p>
    <w:p>
      <w:r>
        <w:t>5. Экспорт окружения (</w:t>
      </w:r>
      <w:r>
        <w:rPr>
          <w:rFonts w:ascii="Courier New" w:hAnsi="Courier New"/>
        </w:rPr>
        <w:t>pip freeze</w:t>
      </w:r>
      <w:r>
        <w:t xml:space="preserve"> или </w:t>
      </w:r>
      <w:r>
        <w:rPr>
          <w:rFonts w:ascii="Courier New" w:hAnsi="Courier New"/>
        </w:rPr>
        <w:t>conda env export</w:t>
      </w:r>
      <w:r>
        <w:t>) с машины, где шли расчёты.</w:t>
      </w:r>
    </w:p>
    <w:p>
      <w:r>
        <w:t>На встрече: устный разбор результатов задачи 4 и любого скрипта на выбор руководителя.</w:t>
      </w:r>
    </w:p>
    <w:p>
      <w:pPr>
        <w:pStyle w:val="Heading2"/>
      </w:pPr>
      <w:r>
        <w:t>Исследовательские вопросы (рабочая версия)</w:t>
      </w:r>
    </w:p>
    <w:p>
      <w:pPr>
        <w:pStyle w:val="ListBullet"/>
      </w:pPr>
      <w:r>
        <w:rPr>
          <w:b/>
        </w:rPr>
        <w:t>H1.</w:t>
      </w:r>
      <w:r>
        <w:t xml:space="preserve"> Влияют ли дубли в MalBehavD-V1 на оценку качества детекторов?</w:t>
      </w:r>
    </w:p>
    <w:p>
      <w:pPr>
        <w:pStyle w:val="ListBullet"/>
      </w:pPr>
      <w:r>
        <w:rPr>
          <w:b/>
        </w:rPr>
        <w:t>RQ1.</w:t>
      </w:r>
      <w:r>
        <w:t xml:space="preserve"> Даёт ли графовое представление трассы (GINE) преимущество перед n-граммами и последовательными моделями при корректном протоколе?</w:t>
      </w:r>
    </w:p>
    <w:p>
      <w:pPr>
        <w:pStyle w:val="ListBullet"/>
      </w:pPr>
      <w:r>
        <w:rPr>
          <w:b/>
        </w:rPr>
        <w:t>RQ2.</w:t>
      </w:r>
      <w:r>
        <w:t xml:space="preserve"> Повышает ли синтетика RelGAN и Diffusion-LM качество детекции на реальных данных? Условия: генераторы обучены только на train, копии реальных трасс отфильтрованы. Отдельно проверяется режим малой обучающей выборки.</w:t>
      </w:r>
    </w:p>
    <w:p>
      <w:pPr>
        <w:pStyle w:val="ListBullet"/>
      </w:pPr>
      <w:r>
        <w:rPr>
          <w:b/>
        </w:rPr>
        <w:t>RQ3 (по возможности).</w:t>
      </w:r>
      <w:r>
        <w:t xml:space="preserve"> Как детекторы деградируют при вставке «безобидных» API-вызовов в malware-трассы?</w:t>
      </w:r>
    </w:p>
    <w:p>
      <w:pPr>
        <w:pStyle w:val="Heading2"/>
      </w:pPr>
      <w:r>
        <w:t>Примерный план всей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Эксперименты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Текст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показать руководителю</w:t>
            </w:r>
          </w:p>
        </w:tc>
      </w:tr>
      <w:tr>
        <w:tc>
          <w:tcPr>
            <w:tcW w:type="dxa" w:w="2160"/>
          </w:tcPr>
          <w:p>
            <w:r>
              <w:t>1 (26.10–01.11)</w:t>
            </w:r>
          </w:p>
        </w:tc>
        <w:tc>
          <w:tcPr>
            <w:tcW w:type="dxa" w:w="2160"/>
          </w:tcPr>
          <w:p>
            <w:r>
              <w:t>Аудит дублей, групповое разбиение, H1 (TF-IDF+LogReg, GINE)</w:t>
            </w:r>
          </w:p>
        </w:tc>
        <w:tc>
          <w:tcPr>
            <w:tcW w:type="dxa" w:w="2160"/>
          </w:tcPr>
          <w:p>
            <w:r>
              <w:t>Оглавление, черновик введения, конспекты</w:t>
            </w:r>
          </w:p>
        </w:tc>
        <w:tc>
          <w:tcPr>
            <w:tcW w:type="dxa" w:w="2160"/>
          </w:tcPr>
          <w:p>
            <w:r>
              <w:t>См. «Что прислать»</w:t>
            </w:r>
          </w:p>
        </w:tc>
      </w:tr>
      <w:tr>
        <w:tc>
          <w:tcPr>
            <w:tcW w:type="dxa" w:w="2160"/>
          </w:tcPr>
          <w:p>
            <w:r>
              <w:t>2 (02.11–08.11)</w:t>
            </w:r>
          </w:p>
        </w:tc>
        <w:tc>
          <w:tcPr>
            <w:tcW w:type="dxa" w:w="2160"/>
          </w:tcPr>
          <w:p>
            <w:r>
              <w:t>RQ1: + LightGBM на n-граммах, + BiGRU или 1D-CNN; повторный групповой CV (например, 5×5); 2–3 абляции GINE (типы рёбер, пулинг)</w:t>
            </w:r>
          </w:p>
        </w:tc>
        <w:tc>
          <w:tcPr>
            <w:tcW w:type="dxa" w:w="2160"/>
          </w:tcPr>
          <w:p>
            <w:r>
              <w:t>Гл. 1, первая половина</w:t>
            </w:r>
          </w:p>
        </w:tc>
        <w:tc>
          <w:tcPr>
            <w:tcW w:type="dxa" w:w="2160"/>
          </w:tcPr>
          <w:p>
            <w:r>
              <w:t>Таблица RQ1; выбранная площадка для публикации</w:t>
            </w:r>
          </w:p>
        </w:tc>
      </w:tr>
      <w:tr>
        <w:tc>
          <w:tcPr>
            <w:tcW w:type="dxa" w:w="2160"/>
          </w:tcPr>
          <w:p>
            <w:r>
              <w:t>3 (09.11–15.11)</w:t>
            </w:r>
          </w:p>
        </w:tc>
        <w:tc>
          <w:tcPr>
            <w:tcW w:type="dxa" w:w="2160"/>
          </w:tcPr>
          <w:p>
            <w:r>
              <w:t xml:space="preserve">RQ2: переобучить RelGAN на train-частях </w:t>
            </w:r>
            <w:r>
              <w:rPr>
                <w:b/>
              </w:rPr>
              <w:t>3 групповых фолдов</w:t>
            </w:r>
            <w:r>
              <w:t xml:space="preserve"> (~4 ч × 3, ночные запуски) и Diffusion-LM </w:t>
            </w:r>
            <w:r>
              <w:rPr>
                <w:b/>
              </w:rPr>
              <w:t>на 1 фолде</w:t>
            </w:r>
            <w:r>
              <w:t xml:space="preserve"> (≥ 8 ч); фильтрация копий; отчёт </w:t>
            </w:r>
            <w:r>
              <w:rPr>
                <w:rFonts w:ascii="Courier New" w:hAnsi="Courier New"/>
              </w:rPr>
              <w:t>generation_quality_checks</w:t>
            </w:r>
            <w:r>
              <w:t xml:space="preserve"> на новых данных</w:t>
            </w:r>
          </w:p>
        </w:tc>
        <w:tc>
          <w:tcPr>
            <w:tcW w:type="dxa" w:w="2160"/>
          </w:tcPr>
          <w:p>
            <w:r>
              <w:t>Гл. 1, вторая половина; гл. 2: данные, представление трассы, GINE</w:t>
            </w:r>
          </w:p>
        </w:tc>
        <w:tc>
          <w:tcPr>
            <w:tcW w:type="dxa" w:w="2160"/>
          </w:tcPr>
          <w:p>
            <w:r>
              <w:t>Отчёты о качестве синтетики; решение, продолжать ли RQ2</w:t>
            </w:r>
          </w:p>
        </w:tc>
      </w:tr>
      <w:tr>
        <w:tc>
          <w:tcPr>
            <w:tcW w:type="dxa" w:w="2160"/>
          </w:tcPr>
          <w:p>
            <w:r>
              <w:t>4 (16.11–22.11)</w:t>
            </w:r>
          </w:p>
        </w:tc>
        <w:tc>
          <w:tcPr>
            <w:tcW w:type="dxa" w:w="2160"/>
          </w:tcPr>
          <w:p>
            <w:r>
              <w:t>RQ2: доли реальных данных 10/25/50/100 % × соотношения синтетика/реальные 0,5/1/2; доверительные интервалы (бутстреп)</w:t>
            </w:r>
          </w:p>
        </w:tc>
        <w:tc>
          <w:tcPr>
            <w:tcW w:type="dxa" w:w="2160"/>
          </w:tcPr>
          <w:p>
            <w:r>
              <w:t>Гл. 2: генераторы, протокол, метрики; черновик статьи (H1 + RQ1)</w:t>
            </w:r>
          </w:p>
        </w:tc>
        <w:tc>
          <w:tcPr>
            <w:tcW w:type="dxa" w:w="2160"/>
          </w:tcPr>
          <w:p>
            <w:r>
              <w:t>Таблица и график RQ2; черновик статьи</w:t>
            </w:r>
          </w:p>
        </w:tc>
      </w:tr>
      <w:tr>
        <w:tc>
          <w:tcPr>
            <w:tcW w:type="dxa" w:w="2160"/>
          </w:tcPr>
          <w:p>
            <w:r>
              <w:t>5 (23.11–29.11)</w:t>
            </w:r>
          </w:p>
        </w:tc>
        <w:tc>
          <w:tcPr>
            <w:tcW w:type="dxa" w:w="2160"/>
          </w:tcPr>
          <w:p>
            <w:r>
              <w:t xml:space="preserve">RQ3 </w:t>
            </w:r>
            <w:r>
              <w:rPr>
                <w:b/>
              </w:rPr>
              <w:t>или</w:t>
            </w:r>
            <w:r>
              <w:t xml:space="preserve"> второй датасет, что-то одно; анализ ошибок</w:t>
            </w:r>
          </w:p>
        </w:tc>
        <w:tc>
          <w:tcPr>
            <w:tcW w:type="dxa" w:w="2160"/>
          </w:tcPr>
          <w:p>
            <w:r>
              <w:t>Гл. 3: RQ1–RQ2; гл. 5 (орг.-правовая)</w:t>
            </w:r>
          </w:p>
        </w:tc>
        <w:tc>
          <w:tcPr>
            <w:tcW w:type="dxa" w:w="2160"/>
          </w:tcPr>
          <w:p>
            <w:r>
              <w:t>Черновик гл. 1–3; статья отправлена или готова к отправке</w:t>
            </w:r>
          </w:p>
        </w:tc>
      </w:tr>
      <w:tr>
        <w:tc>
          <w:tcPr>
            <w:tcW w:type="dxa" w:w="2160"/>
          </w:tcPr>
          <w:p>
            <w:r>
              <w:t>6 (30.11–06.12)</w:t>
            </w:r>
          </w:p>
        </w:tc>
        <w:tc>
          <w:tcPr>
            <w:tcW w:type="dxa" w:w="2160"/>
          </w:tcPr>
          <w:p>
            <w:r>
              <w:t>Заморозка экспериментов; программная реализация (CLI или простой интерфейс, время инференса)</w:t>
            </w:r>
          </w:p>
        </w:tc>
        <w:tc>
          <w:tcPr>
            <w:tcW w:type="dxa" w:w="2160"/>
          </w:tcPr>
          <w:p>
            <w:r>
              <w:t>Гл. 3: RQ3, обсуждение, ограничения; гл. 4; гл. 6 (экономика); заключение</w:t>
            </w:r>
          </w:p>
        </w:tc>
        <w:tc>
          <w:tcPr>
            <w:tcW w:type="dxa" w:w="2160"/>
          </w:tcPr>
          <w:p>
            <w:r>
              <w:t>Полный текст</w:t>
            </w:r>
          </w:p>
        </w:tc>
      </w:tr>
      <w:tr>
        <w:tc>
          <w:tcPr>
            <w:tcW w:type="dxa" w:w="2160"/>
          </w:tcPr>
          <w:p>
            <w:r>
              <w:t>7 (07.12–13.12)</w:t>
            </w:r>
          </w:p>
        </w:tc>
        <w:tc>
          <w:tcPr>
            <w:tcW w:type="dxa" w:w="2160"/>
          </w:tcPr>
          <w:p>
            <w:r>
              <w:t>Только исправления</w:t>
            </w:r>
          </w:p>
        </w:tc>
        <w:tc>
          <w:tcPr>
            <w:tcW w:type="dxa" w:w="2160"/>
          </w:tcPr>
          <w:p>
            <w:r>
              <w:t>Правки, оформление по методичке, проверка в системе «Антиплагиат»</w:t>
            </w:r>
          </w:p>
        </w:tc>
        <w:tc>
          <w:tcPr>
            <w:tcW w:type="dxa" w:w="2160"/>
          </w:tcPr>
          <w:p>
            <w:r>
              <w:t>Версия для рецензирования</w:t>
            </w:r>
          </w:p>
        </w:tc>
      </w:tr>
      <w:tr>
        <w:tc>
          <w:tcPr>
            <w:tcW w:type="dxa" w:w="2160"/>
          </w:tcPr>
          <w:p>
            <w:r>
              <w:t>Январь</w:t>
            </w:r>
          </w:p>
        </w:tc>
        <w:tc>
          <w:tcPr>
            <w:tcW w:type="dxa" w:w="2160"/>
          </w:tcPr>
          <w:p>
            <w:r>
              <w:t>По замечаниям</w:t>
            </w:r>
          </w:p>
        </w:tc>
        <w:tc>
          <w:tcPr>
            <w:tcW w:type="dxa" w:w="2160"/>
          </w:tcPr>
          <w:p>
            <w:r>
              <w:t>Презентация, доклад</w:t>
            </w:r>
          </w:p>
        </w:tc>
        <w:tc>
          <w:tcPr>
            <w:tcW w:type="dxa" w:w="2160"/>
          </w:tcPr>
          <w:p>
            <w:r>
              <w:t>Предзащита</w:t>
            </w:r>
          </w:p>
        </w:tc>
      </w:tr>
    </w:tbl>
    <w:p>
      <w:r>
        <w:rPr>
          <w:b/>
        </w:rPr>
        <w:t>Правило отсечения.</w:t>
      </w:r>
      <w:r>
        <w:t xml:space="preserve"> Если к 15.11 RQ2 не даёт устойчивого эффекта, основой работы становятся H1 и RQ1. RQ2 описывается как ограниченный или отрицательный результат; это допустимо и честно.</w:t>
      </w:r>
    </w:p>
    <w:p>
      <w:pPr>
        <w:pStyle w:val="Heading2"/>
      </w:pPr>
      <w:r>
        <w:t>Структура и постраничный бюджет (50–60 с.)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Страниц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Введение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  <w:tc>
          <w:tcPr>
            <w:tcW w:type="dxa" w:w="2880"/>
          </w:tcPr>
          <w:p>
            <w:r>
              <w:t>Актуальность, цель, задачи, объект, предмет, новизна (осторожно), практическая значимость, положения на защиту, апробация</w:t>
            </w:r>
          </w:p>
        </w:tc>
      </w:tr>
      <w:tr>
        <w:tc>
          <w:tcPr>
            <w:tcW w:type="dxa" w:w="2880"/>
          </w:tcPr>
          <w:p>
            <w:r>
              <w:t>1. Анализ предметной области</w:t>
            </w:r>
          </w:p>
        </w:tc>
        <w:tc>
          <w:tcPr>
            <w:tcW w:type="dxa" w:w="2880"/>
          </w:tcPr>
          <w:p>
            <w:r>
              <w:t>11–13</w:t>
            </w:r>
          </w:p>
        </w:tc>
        <w:tc>
          <w:tcPr>
            <w:tcW w:type="dxa" w:w="2880"/>
          </w:tcPr>
          <w:p>
            <w:r>
              <w:t>Статический и динамический анализ, песочницы, API-трассы; n-граммы и классический ML; последовательные и графовые модели; генеративная аугментация; ошибки оценки (дубли, смещения); постановка задачи</w:t>
            </w:r>
          </w:p>
        </w:tc>
      </w:tr>
      <w:tr>
        <w:tc>
          <w:tcPr>
            <w:tcW w:type="dxa" w:w="2880"/>
          </w:tcPr>
          <w:p>
            <w:r>
              <w:t>2. Методы</w:t>
            </w:r>
          </w:p>
        </w:tc>
        <w:tc>
          <w:tcPr>
            <w:tcW w:type="dxa" w:w="2880"/>
          </w:tcPr>
          <w:p>
            <w:r>
              <w:t>10–12</w:t>
            </w:r>
          </w:p>
        </w:tc>
        <w:tc>
          <w:tcPr>
            <w:tcW w:type="dxa" w:w="2880"/>
          </w:tcPr>
          <w:p>
            <w:r>
              <w:t>Датасет и аудит дублей; представления трассы; GINE; RelGAN, Diffusion-LM и фильтрация синтетики; протокол оценки, метрики, статистика</w:t>
            </w:r>
          </w:p>
        </w:tc>
      </w:tr>
      <w:tr>
        <w:tc>
          <w:tcPr>
            <w:tcW w:type="dxa" w:w="2880"/>
          </w:tcPr>
          <w:p>
            <w:r>
              <w:t>3. Экспериментальное исследование</w:t>
            </w:r>
          </w:p>
        </w:tc>
        <w:tc>
          <w:tcPr>
            <w:tcW w:type="dxa" w:w="2880"/>
          </w:tcPr>
          <w:p>
            <w:r>
              <w:t>12–14</w:t>
            </w:r>
          </w:p>
        </w:tc>
        <w:tc>
          <w:tcPr>
            <w:tcW w:type="dxa" w:w="2880"/>
          </w:tcPr>
          <w:p>
            <w:r>
              <w:t>Условия и воспроизводимость; H1; RQ1 и абляции; RQ2; RQ3 или второй датасет; обсуждение и ограничения</w:t>
            </w:r>
          </w:p>
        </w:tc>
      </w:tr>
      <w:tr>
        <w:tc>
          <w:tcPr>
            <w:tcW w:type="dxa" w:w="2880"/>
          </w:tcPr>
          <w:p>
            <w:r>
              <w:t>4. Программная реализация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  <w:tc>
          <w:tcPr>
            <w:tcW w:type="dxa" w:w="2880"/>
          </w:tcPr>
          <w:p>
            <w:r>
              <w:t>Архитектура, сценарии, производительность</w:t>
            </w:r>
          </w:p>
        </w:tc>
      </w:tr>
      <w:tr>
        <w:tc>
          <w:tcPr>
            <w:tcW w:type="dxa" w:w="2880"/>
          </w:tcPr>
          <w:p>
            <w:r>
              <w:t>5. Организационно-правовое обеспечение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  <w:tc>
          <w:tcPr>
            <w:tcW w:type="dxa" w:w="2880"/>
          </w:tcPr>
          <w:p>
            <w:r>
              <w:t>Нормативная база (см. ниже), лицензии на данные и код, обращение с образцами вредоносного ПО</w:t>
            </w:r>
          </w:p>
        </w:tc>
      </w:tr>
      <w:tr>
        <w:tc>
          <w:tcPr>
            <w:tcW w:type="dxa" w:w="2880"/>
          </w:tcPr>
          <w:p>
            <w:r>
              <w:t>6. Экономическое обоснование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  <w:tc>
          <w:tcPr>
            <w:tcW w:type="dxa" w:w="2880"/>
          </w:tcPr>
          <w:p>
            <w:r>
              <w:t>Трудоёмкость и затраты на разработку, оборудование и электроэнергия, сравнение с альтернативами (по методичке)</w:t>
            </w:r>
          </w:p>
        </w:tc>
      </w:tr>
      <w:tr>
        <w:tc>
          <w:tcPr>
            <w:tcW w:type="dxa" w:w="2880"/>
          </w:tcPr>
          <w:p>
            <w:r>
              <w:t>Заключение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Ответы на вопросы исследования, результаты, ограничения, развитие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49–59</w:t>
            </w:r>
          </w:p>
        </w:tc>
        <w:tc>
          <w:tcPr>
            <w:tcW w:type="dxa" w:w="2880"/>
          </w:tcPr>
          <w:p>
            <w:r>
              <w:t>+ список источников + приложения (код, конфигурации, полные таблицы)</w:t>
            </w:r>
          </w:p>
        </w:tc>
      </w:tr>
    </w:tbl>
    <w:p>
      <w:pPr>
        <w:pStyle w:val="Heading3"/>
      </w:pPr>
      <w:r>
        <w:t>Материалы для раздела 5 (перед использованием проверить действующие редакции)</w:t>
      </w:r>
    </w:p>
    <w:p>
      <w:pPr>
        <w:pStyle w:val="ListBullet"/>
      </w:pPr>
      <w:r>
        <w:t>Федеральный закон № 149-ФЗ «Об информации, информационных технологиях и о защите информации».</w:t>
      </w:r>
    </w:p>
    <w:p>
      <w:pPr>
        <w:pStyle w:val="ListBullet"/>
      </w:pPr>
      <w:r>
        <w:t>Федеральный закон № 152-ФЗ «О персональных данных»: могут ли трассы содержать персональные данные.</w:t>
      </w:r>
    </w:p>
    <w:p>
      <w:pPr>
        <w:pStyle w:val="ListBullet"/>
      </w:pPr>
      <w:r>
        <w:t>УК РФ, ст. 273 «Создание, использование и распространение вредоносных компьютерных программ». Важно: в работе используются только записи вызовов API, исполняемые файлы не используются.</w:t>
      </w:r>
    </w:p>
    <w:p>
      <w:pPr>
        <w:pStyle w:val="ListBullet"/>
      </w:pPr>
      <w:r>
        <w:t>ГК РФ, часть 4: лицензии. Датасет MalBehavD-V1 — MIT; TextGAN-PyTorch — MIT; Diffusion-LM — Apache 2.0 (по файлам LICENSE в репозиториях).</w:t>
      </w:r>
    </w:p>
    <w:p>
      <w:pPr>
        <w:pStyle w:val="ListBullet"/>
      </w:pPr>
      <w:r>
        <w:t>Требования ФСТЭК России к средствам антивирусной защиты и ГОСТы по защите информации и разработке безопасного ПО. Конкретные документы и их актуальность сверить с официальными источниками и методичкой кафедры.</w:t>
      </w:r>
    </w:p>
    <w:p>
      <w:pPr>
        <w:pStyle w:val="Heading3"/>
      </w:pPr>
      <w:r>
        <w:t>Раздел 6</w:t>
      </w:r>
    </w:p>
    <w:p>
      <w:r>
        <w:t>Структуру (смета, трудоёмкость, ставки, амортизация, расчёт эффективности) взять из методички кафедры или примеров защищённых ВКР.</w:t>
      </w:r>
    </w:p>
    <w:p>
      <w:pPr>
        <w:pStyle w:val="Heading2"/>
      </w:pPr>
      <w:r>
        <w:t>Публикация</w:t>
      </w:r>
    </w:p>
    <w:p>
      <w:r>
        <w:t xml:space="preserve">Нужна публикация. Самый реалистичный материал — </w:t>
      </w:r>
      <w:r>
        <w:rPr>
          <w:b/>
        </w:rPr>
        <w:t>H1 + RQ1</w:t>
      </w:r>
      <w:r>
        <w:t>: влияние дублей на оценку детекторов на MalBehavD-V1 и сравнение с простыми baseline. Это законченный результат, его можно получить к середине ноября.</w:t>
      </w:r>
    </w:p>
    <w:p>
      <w:pPr>
        <w:pStyle w:val="ListBullet"/>
      </w:pPr>
      <w:r>
        <w:t>До 08.11: выбрать площадку (конференция или журнал, требования кафедры к уровню) и узнать сроки и формат.</w:t>
      </w:r>
    </w:p>
    <w:p>
      <w:pPr>
        <w:pStyle w:val="ListBullet"/>
      </w:pPr>
      <w:r>
        <w:t>Недели 4–5: текст статьи или тезисов, написанный самостоятельно.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