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"/>
    <w:p w14:paraId="5F14EDF8" w14:textId="77777777" w:rsidR="00A0331C" w:rsidRPr="00044D1A" w:rsidRDefault="00A0331C" w:rsidP="00A0331C">
      <w:pPr>
        <w:pStyle w:val="Default"/>
        <w:spacing w:after="4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AQUASYS: APLICATIVO MÓVEL PARA GESTÃO DE AQUÁRIOS E APOIO À MANUTENÇÃO PROFISSIONAL EM MODELO SAAS</w:t>
      </w:r>
    </w:p>
    <w:p w14:paraId="40FA1EFE" w14:textId="77777777" w:rsidR="00A0331C" w:rsidRDefault="00A0331C" w:rsidP="00A0331C">
      <w:pPr>
        <w:pStyle w:val="Default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ZAMPIER, Weslley Cesar</w:t>
      </w:r>
    </w:p>
    <w:p w14:paraId="40FA1EFE" w14:textId="77777777" w:rsidR="00A0331C" w:rsidRDefault="00A0331C" w:rsidP="00A0331C">
      <w:pPr>
        <w:pStyle w:val="Default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LEVANDOSKI, Brenda Lopes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43776191" w14:textId="77777777" w:rsidR="00A0331C" w:rsidRPr="00044D1A" w:rsidRDefault="00A0331C" w:rsidP="00A0331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RESUMO: </w:t>
      </w:r>
      <w:r>
        <w:rPr>
          <w:rFonts w:ascii="Arial" w:hAnsi="Arial" w:cs="Arial"/>
        </w:rPr>
        <w:t xml:space="preserve">O aquarismo ornamental exige controlar a qualidade da água e a compatibilidade entre espécies, conhecimentos que o iniciante raramente domina. Este trabalho apresenta o AquaSys, aplicativo móvel em modelo SaaS que interpreta os parâmetros da água conforme as espécies do aquário e orienta a composição do povoamento. A pesquisa seguiu o </w:t>
      </w:r>
      <w:r>
        <w:rPr>
          <w:rFonts w:ascii="Arial" w:hAnsi="Arial" w:cs="Arial"/>
          <w:i/>
        </w:rPr>
        <w:t xml:space="preserve">Design Thinking</w:t>
      </w:r>
      <w:r>
        <w:rPr>
          <w:rFonts w:ascii="Arial" w:hAnsi="Arial" w:cs="Arial"/>
        </w:rPr>
        <w:t xml:space="preserve"> e um mapeamento sistemático da literatura. O sistema adota arquitetura cliente-servidor em três camadas, com as regras de negócio no servidor. O protótipo está funcional e verificado por 293 testes automatizados, e a usabilidade será validada por Avaliação Heurística.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14DAD14A" w14:textId="77777777" w:rsidR="00A0331C" w:rsidRPr="00044D1A" w:rsidRDefault="00A0331C" w:rsidP="00A0331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Palavras-chave: </w:t>
      </w:r>
      <w:r>
        <w:rPr>
          <w:rFonts w:ascii="Arial" w:hAnsi="Arial" w:cs="Arial"/>
        </w:rPr>
        <w:t xml:space="preserve">Aquarismo. Aplicativo móvel. Arquitetura de software. Qualidade da água. Software como serviço.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575A24A2" w14:textId="77777777" w:rsidR="00A0331C" w:rsidRPr="00044D1A" w:rsidRDefault="00A0331C" w:rsidP="00A0331C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1 INTRODUÇÃO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aquarismo ornamental é uma das atividades de lazer mais difundidas no mundo, com um comércio global que movimenta bilhões de dólares por ano e abrange milhares de espécies (Biondo; Burki, 2021). No Brasil, a aquicultura ornamental cresce sustentada pela diversidade da fauna nativa e pela demanda por espécies tropicais (Mendonça; Thomé, 2020).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Esse crescimento convive com a perda frequente de animais logo nas primeiras semanas, uma vez que manter um aquário equilibrado significa manter um ecossistema cujo funcionamento depende de variáveis químicas invisíveis a olho nu (Arana, 2004). Desvios discretos em pH, temperatura, amônia, nitrito e nitrato bastam para causar estresse, doença e morte, complexidade que o aquarista iniciante costuma descobrir apenas depois das primeiras perdas (Lins, 2021). Além disso, cada espécie tolera uma faixa própria desses parâmetros, definida pelo ambiente em que evoluiu (Baldisserotto, 2025). A convivência entre espécies, por sua vez, exige considerar em conjunto o porte, o comportamento e a faixa de parâmetros tolerada por cada uma (Mohammadi; Jafari, 2014).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soluções existentes atacam apenas parte do problema. A automação por sensores é eficaz na coleta do dado, mas não orienta sobre o significado da medição nem trata da convivência entre espécies (Unoki; Candido, 2019; Mazziero </w:t>
      </w:r>
      <w:r>
        <w:rPr>
          <w:rFonts w:ascii="Arial" w:hAnsi="Arial" w:cs="Arial"/>
          <w:i/>
        </w:rPr>
        <w:t xml:space="preserve">et al.</w:t>
      </w:r>
      <w:r>
        <w:rPr>
          <w:rFonts w:ascii="Arial" w:hAnsi="Arial" w:cs="Arial"/>
        </w:rPr>
        <w:t xml:space="preserve">, 2023). Há ainda um público pouco atendido por essas soluções: o profissional que presta manutenção de aquários a domicílio. Em levantamento realizado na loja Aqualife Ecossistemas, em Guarapuava, observou-se que esse profissional registra cada visita em fichas de papel, que depois não podem ser consultadas nem comparadas com o atendimento anterior.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Diante desse cenário, este trabalho tem como objetivo desenvolver e avaliar o AquaSys, aplicativo móvel distribuído no modelo </w:t>
      </w:r>
      <w:r>
        <w:rPr>
          <w:rFonts w:ascii="Arial" w:hAnsi="Arial" w:cs="Arial"/>
          <w:i/>
        </w:rPr>
        <w:t xml:space="preserve">Software as a Service</w:t>
      </w:r>
      <w:r>
        <w:rPr>
          <w:rFonts w:ascii="Arial" w:hAnsi="Arial" w:cs="Arial"/>
        </w:rPr>
        <w:t xml:space="preserve"> (SaaS) que interpreta os parâmetros da água à luz das espécies presentes, orienta a composição do povoamento e substitui a ficha de papel por um histórico consultável. A seção seguinte descreve os métodos empregados e os resultados obtidos até o momento.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575A24A2" w14:textId="77777777" w:rsidR="00A0331C" w:rsidRPr="00044D1A" w:rsidRDefault="00A0331C" w:rsidP="00A0331C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2 DESENVOLVIMENTO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575A24A2" w14:textId="77777777" w:rsidR="00A0331C" w:rsidRPr="00044D1A" w:rsidRDefault="00A0331C" w:rsidP="00A0331C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2.1 Materiais e métodos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pesquisa é de natureza aplicada, por destinar-se à construção de um artefato para resolver um problema concreto, e de abordagem qualitativa, por buscar compreender as necessidades de um público específico e traduzi-las em requisitos (Prodanov; Freitas, 2013). A condução seguiu o </w:t>
      </w:r>
      <w:r>
        <w:rPr>
          <w:rFonts w:ascii="Arial" w:hAnsi="Arial" w:cs="Arial"/>
          <w:i/>
        </w:rPr>
        <w:t xml:space="preserve">Design Thinking</w:t>
      </w:r>
      <w:r>
        <w:rPr>
          <w:rFonts w:ascii="Arial" w:hAnsi="Arial" w:cs="Arial"/>
        </w:rPr>
        <w:t xml:space="preserve">, organizado em cinco etapas: empatia, definição, ideação, prototipação e teste (Lopes, 2023).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etapa de empatia, realizou-se observação direta em ambiente comercial de aquarismo e conversas com aquaristas de diferentes níveis de experiência. Paralelamente, conduziu-se um mapeamento sistemático da literatura, método que identifica, classifica e resume a produção científica sobre um tema (Kitchenham; Charters, 2007). As buscas na IEEE </w:t>
      </w:r>
      <w:r>
        <w:rPr>
          <w:rFonts w:ascii="Arial" w:hAnsi="Arial" w:cs="Arial"/>
          <w:i/>
        </w:rPr>
        <w:t xml:space="preserve">Xplore</w:t>
      </w:r>
      <w:r>
        <w:rPr>
          <w:rFonts w:ascii="Arial" w:hAnsi="Arial" w:cs="Arial"/>
        </w:rPr>
        <w:t xml:space="preserve"> e no Google Acadêmico, entre 2015 e 2026, retornaram 880 registros, e oito estudos foram selecionados após a remoção de duplicados, a triagem por título e resumo e a leitura integral.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adota arquitetura cliente-servidor em três camadas, apresentada na Figura 1. A opção por um monolito modular, em vez de microsserviços, segue a recomendação de começar por um monolito e extrair serviços apenas quando as fronteiras estiverem comprovadas pelo uso (Fowler, 2015). A comunicação segue o estilo REST, com requisições autocontidas e sem estado de sessão no servidor (Fielding, 2000). O isolamento entre as lojas é feito por multilocação por linha, em que todas compartilham as mesmas tabelas e cada registro identifica o seu proprietário (Chong; Carraro; Wolter, 2006).</w:t>
      </w:r>
    </w:p>
    <w:p w14:paraId="7B89FBC4" w14:textId="77777777" w:rsidR="00A0331C" w:rsidRDefault="00A0331C" w:rsidP="00A0331C">
      <w:pPr>
        <w:pStyle w:val="Default"/>
        <w:spacing w:line="240" w:lineRule="auto" w:before="120" w:after="0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Figura 1 – Arquitetura em três camadas do AquaSys</w:t>
      </w:r>
    </w:p>
    <w:p w14:paraId="7B89FBC4" w14:textId="77777777" w:rsidR="00A0331C" w:rsidRDefault="00A0331C" w:rsidP="00A0331C">
      <w:pPr>
        <w:pStyle w:val="Default"/>
        <w:spacing w:line="240" w:lineRule="auto" w:before="0" w:after="0"/>
        <w:ind w:firstLine="0"/>
        <w:jc w:val="center"/>
        <w:rPr>
          <w:rFonts w:ascii="Arial" w:hAnsi="Arial" w:cs="Arial"/>
        </w:rPr>
      </w:pPr>
      <w:r>
        <w:drawing>
          <wp:inline xmlns:a="http://schemas.openxmlformats.org/drawingml/2006/main" xmlns:pic="http://schemas.openxmlformats.org/drawingml/2006/picture">
            <wp:extent cx="5580000" cy="360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8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89FBC4" w14:textId="77777777" w:rsidR="00A0331C" w:rsidRDefault="00A0331C" w:rsidP="00A0331C">
      <w:pPr>
        <w:pStyle w:val="Default"/>
        <w:spacing w:line="240" w:lineRule="auto" w:before="0" w:after="120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Fonte: Os autores (2026).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camada de apresentação é um aplicativo em Flutter, arcabouço que gera versões para Android e iOS a partir de uma base de código única (Flutter, 2025). A lógica de negócio é uma API em FastAPI, que valida a entrada e a saída por modelos declarativos antes de qualquer regra ser executada (FastAPI, 2024). Os dados residem em PostgreSQL, com integridade referencial e restrições de verificação declaradas no próprio esquema (PostgreSQL Global Development Group, 2025).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verificação é feita por testes automatizados de unidade, de integração e de interface. A validação de usabilidade será conduzida por Avaliação Heurística, em que a interface é confrontada com dez princípios gerais de usabilidade e cada violação recebe um grau de severidade (Nielsen, 1994).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575A24A2" w14:textId="77777777" w:rsidR="00A0331C" w:rsidRPr="00044D1A" w:rsidRDefault="00A0331C" w:rsidP="00A0331C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2.2 Resultados parciais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protótipo está funcional e cobre o ciclo de uso dos dois perfis, a loja assinante e o aquarista cliente. O servidor expõe 48 rotas sobre 18 tabelas, e a regra de negócio concentra-se em serviços de domínio independentes do protocolo HTTP, o que permite testá-los sem servidor ativo.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principal resultado é o motor de avaliação de parâmetros. Em sua primeira versão, a faixa ideal era derivada do tipo declarado do aquário e produzia alarme falso sempre que o povoamento fugia da média do tipo. Na versão atual, a faixa é derivada dos peixes efetivamente presentes: como a mesma água serve a todos, o intervalo válido é a interseção das tolerâncias de cada espécie, ou seja, o maior dos mínimos e o menor dos máximos. Quando as exigências não se cruzam, o sistema não acusa a água, e sim aponta que o problema está na combinação de espécies. As mensagens identificam a espécie afetada, como em "Esse parâmetro está errado pois o Neon Tetra vive em água mais ácida (pH até 7,0), e a sua está em 7,3 (alcalina)".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motor de compatibilidade classifica cada combinação em quatro níveis e a converte em uma de três decisões: liberado, requer confirmação ou bloqueado. Combinações de risco previsível e irreversível, como a predação decorrente da diferença de porte, são bloqueadas com mensagem específica, do tipo "Acará Bandeira adulto (15 cm) predará Neon Tetra (4 cm)".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próprio desenvolvimento ofereceu evidência para a decisão de concentrar as regras no servidor. Em uma versão intermediária, as faixas ideais existiam duplicadas no aplicativo e na API; as duas cópias divergiram, e o mesmo aquário passou a ser exibido como saudável em uma tela e problemático em outra. A correção consistiu em eliminar a cópia do aplicativo, episódio que ilustra que os atributos de qualidade decorrem da estrutura do sistema, e não do cuidado com cada trecho de código isolado (Bass; Clements; Kazman, 2021).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separação das fotografias do catálogo em tabela própria manteve a listagem de espécies em 8,5 KB, sem nenhum byte de imagem, com miniaturas de 6,8 KB e revalidação por </w:t>
      </w:r>
      <w:r>
        <w:rPr>
          <w:rFonts w:ascii="Arial" w:hAnsi="Arial" w:cs="Arial"/>
          <w:i/>
        </w:rPr>
        <w:t xml:space="preserve">ETag</w:t>
      </w:r>
      <w:r>
        <w:rPr>
          <w:rFonts w:ascii="Arial" w:hAnsi="Arial" w:cs="Arial"/>
        </w:rPr>
        <w:t xml:space="preserve"> que evita retransmitir imagem já obtida. A suíte de verificação reúne 293 testes automatizados, 270 na API e 23 no aplicativo, dos quais 13 confirmam que uma loja não alcança dados de outra ao trocar identificadores na requisição.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575A24A2" w14:textId="77777777" w:rsidR="00A0331C" w:rsidRPr="00044D1A" w:rsidRDefault="00A0331C" w:rsidP="00A0331C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3 CONSIDERAÇÕES FINAIS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AquaSys demonstra a viabilidade técnica de um aplicativo que interpreta os parâmetros da água a partir das espécies presentes, e não de faixas fixas por tipo de aquário, distinção que o diferencia das soluções levantadas no mapeamento. Manter as regras de negócio no servidor trouxe dois ganhos concretos. Todas as telas passaram a exibir a mesma avaliação, por existir uma única implementação dela, e ampliar o catálogo ou corrigir uma faixa de parâmetro deixou de exigir atualização do aplicativo.</w:t>
      </w:r>
    </w:p>
    <w:p w14:paraId="7B89FBC4" w14:textId="77777777" w:rsidR="00A0331C" w:rsidRDefault="00A0331C" w:rsidP="00A0331C">
      <w:pPr>
        <w:pStyle w:val="Default"/>
        <w:spacing w:line="360" w:lineRule="auto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próximas etapas, estão previstas a Avaliação Heurística do protótipo, a conclusão dos requisitos pendentes, entre eles o lembrete de troca parcial de água e a recuperação de senha por correio eletrônico, e a implantação do sistema em ambiente de produção.</w:t>
      </w:r>
    </w:p>
    <w:p w14:paraId="607D56CA" w14:textId="77777777" w:rsidR="00A0331C" w:rsidRDefault="00A0331C" w:rsidP="00A0331C">
      <w:pPr>
        <w:pStyle w:val="Default"/>
        <w:jc w:val="both"/>
        <w:rPr>
          <w:rFonts w:ascii="Arial" w:hAnsi="Arial" w:cs="Arial"/>
          <w:b/>
          <w:bCs/>
        </w:rPr>
      </w:pPr>
    </w:p>
    <w:p w14:paraId="66E5B7CE" w14:textId="77777777" w:rsidR="00A0331C" w:rsidRDefault="00A0331C" w:rsidP="00A0331C">
      <w:pPr>
        <w:rPr>
          <w:rFonts w:cs="Arial"/>
          <w:b/>
          <w:bCs/>
          <w:szCs w:val="24"/>
        </w:rPr>
      </w:pPr>
      <w:r>
        <w:rPr>
          <w:rFonts w:cs="Arial"/>
          <w:b/>
          <w:szCs w:val="24"/>
        </w:rPr>
        <w:t xml:space="preserve">4 REFERÊNCIAS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ARANA, Luis Vinatea. </w:t>
      </w:r>
      <w:r>
        <w:rPr>
          <w:b/>
        </w:rPr>
        <w:t xml:space="preserve">Princípios químicos de qualidade da água em aquicultura</w:t>
      </w:r>
      <w:r>
        <w:rPr/>
        <w:t xml:space="preserve">: uma revisão para peixes e camarões. 2. ed. rev. ampl. Florianópolis: Editora da UFSC, 2004. 231 p.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BALDISSEROTTO, Bernardo. </w:t>
      </w:r>
      <w:r>
        <w:rPr>
          <w:b/>
        </w:rPr>
        <w:t xml:space="preserve">Fisiologia de peixes aplicada à piscicultura</w:t>
      </w:r>
      <w:r>
        <w:rPr/>
        <w:t xml:space="preserve">. 4. ed. rev. atual. Santa Maria: Editora UFSM, 2025. 290 p. ISBN 978-65-5716-139-5.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BASS, Len; CLEMENTS, Paul; KAZMAN, Rick. </w:t>
      </w:r>
      <w:r>
        <w:rPr>
          <w:b/>
        </w:rPr>
        <w:t xml:space="preserve">Software architecture in practice</w:t>
      </w:r>
      <w:r>
        <w:rPr/>
        <w:t xml:space="preserve">. 4. ed. Boston: Addison-Wesley, 2021. ISBN 978-0-13-688609-9.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BIONDO, M.; BURKI, R. Ornamental fish trade and the aquarium hobby. In: CLOSS, G. P. </w:t>
      </w:r>
      <w:r>
        <w:rPr>
          <w:i/>
        </w:rPr>
        <w:t xml:space="preserve">et al.</w:t>
      </w:r>
      <w:r>
        <w:rPr/>
        <w:t xml:space="preserve"> (ed.). </w:t>
      </w:r>
      <w:r>
        <w:rPr>
          <w:b/>
        </w:rPr>
        <w:t xml:space="preserve">Conservation of freshwater fishes</w:t>
      </w:r>
      <w:r>
        <w:rPr/>
        <w:t xml:space="preserve">. Cambridge: Cambridge University Press, 2021. p. 368-395.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CHONG, Frederick; CARRARO, Gianpaolo; WOLTER, Roger. </w:t>
      </w:r>
      <w:r>
        <w:rPr>
          <w:b/>
        </w:rPr>
        <w:t xml:space="preserve">Multi-tenant data architecture</w:t>
      </w:r>
      <w:r>
        <w:rPr/>
        <w:t xml:space="preserve">. Redmond: Microsoft Corporation, jun. 2006. Disponível em: https://docs.citusdata.com/en/v13.0/_static/mt-data-arch.pdf.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FASTAPI. </w:t>
      </w:r>
      <w:r>
        <w:rPr>
          <w:b/>
        </w:rPr>
        <w:t xml:space="preserve">Documentação oficial do FastAPI</w:t>
      </w:r>
      <w:r>
        <w:rPr/>
        <w:t xml:space="preserve">. 2024. Disponível em: https://fastapi.tiangolo.com.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FIELDING, Roy Thomas. </w:t>
      </w:r>
      <w:r>
        <w:rPr>
          <w:b/>
        </w:rPr>
        <w:t xml:space="preserve">Architectural styles and the design of network-based software architectures</w:t>
      </w:r>
      <w:r>
        <w:rPr/>
        <w:t xml:space="preserve">. 2000. Tese (Doutorado em Informação e Ciência da Computação) — University of California, Irvine, 2000. Disponível em: https://www.ics.uci.edu/~fielding/pubs/dissertation/top.htm.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FLUTTER. </w:t>
      </w:r>
      <w:r>
        <w:rPr>
          <w:b/>
        </w:rPr>
        <w:t xml:space="preserve">Documentação oficial do Flutter</w:t>
      </w:r>
      <w:r>
        <w:rPr/>
        <w:t xml:space="preserve">. 2025. Disponível em: https://docs.flutter.dev.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FOWLER, Martin. </w:t>
      </w:r>
      <w:r>
        <w:rPr>
          <w:b/>
        </w:rPr>
        <w:t xml:space="preserve">MonolithFirst</w:t>
      </w:r>
      <w:r>
        <w:rPr/>
        <w:t xml:space="preserve">. 2015. Disponível em: https://martinfowler.com/bliki/MonolithFirst.html.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KITCHENHAM, Barbara; CHARTERS, Stuart. </w:t>
      </w:r>
      <w:r>
        <w:rPr>
          <w:b/>
        </w:rPr>
        <w:t xml:space="preserve">Guidelines for performing systematic literature reviews in software engineering</w:t>
      </w:r>
      <w:r>
        <w:rPr/>
        <w:t xml:space="preserve">. Technical Report EBSE 2007-001. Keele: Keele University; Durham University Joint Report, 2007.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LINS, Eduardo Antonio Maia. </w:t>
      </w:r>
      <w:r>
        <w:rPr>
          <w:b/>
        </w:rPr>
        <w:t xml:space="preserve">Análise de qualidade da água em um aquário</w:t>
      </w:r>
      <w:r>
        <w:rPr/>
        <w:t xml:space="preserve">: a importância do sistema de filtração da água. 2021. Trabalho de Conclusão de Curso (Tecnologia em Gestão Ambiental) — Instituto Federal de Educação, Ciência e Tecnologia de Pernambuco, Recife, 2021.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LOPES, M. </w:t>
      </w:r>
      <w:r>
        <w:rPr>
          <w:b/>
        </w:rPr>
        <w:t xml:space="preserve">O que é Design Thinking</w:t>
      </w:r>
      <w:r>
        <w:rPr/>
        <w:t xml:space="preserve">: principais etapas e ferramentas. EBAC, 2 fev. 2023. Disponível em: https://ebaconline.com.br/blog/o-que-e-design-thinking.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MAZZIERO, Cleber </w:t>
      </w:r>
      <w:r>
        <w:rPr>
          <w:i/>
        </w:rPr>
        <w:t xml:space="preserve">et al.</w:t>
      </w:r>
      <w:r>
        <w:rPr/>
        <w:t xml:space="preserve"> </w:t>
      </w:r>
      <w:r>
        <w:rPr>
          <w:b/>
        </w:rPr>
        <w:t xml:space="preserve">Aquário automatizado</w:t>
      </w:r>
      <w:r>
        <w:rPr/>
        <w:t xml:space="preserve">. 2023. 39 f. Trabalho de Conclusão de Curso (Técnico em Mecatrônica) — Etec Paulino Botelho, Centro Estadual de Educação Tecnológica Paula Souza, São Carlos, 2023.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MENDONÇA, F.; THOMÉ, R. Aquicultura ornamental: panorama, desafios e oportunidades no mercado brasileiro. </w:t>
      </w:r>
      <w:r>
        <w:rPr>
          <w:b/>
        </w:rPr>
        <w:t xml:space="preserve">Revista Brasileira de Zootecnia</w:t>
      </w:r>
      <w:r>
        <w:rPr/>
        <w:t xml:space="preserve">, v. 49, e20190137, 2020.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MOHAMMADI, Mohammad; JAFARI, Shahram. </w:t>
      </w:r>
      <w:r>
        <w:rPr>
          <w:b/>
        </w:rPr>
        <w:t xml:space="preserve">An expert system for recommending suitable ornamental fish addition to an aquarium based on aquarium condition</w:t>
      </w:r>
      <w:r>
        <w:rPr/>
        <w:t xml:space="preserve">. 2014. Disponível em: https://arxiv.org/abs/1405.1524. Acesso em: 20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NIELSEN, Jakob. </w:t>
      </w:r>
      <w:r>
        <w:rPr>
          <w:b/>
        </w:rPr>
        <w:t xml:space="preserve">Usability engineering</w:t>
      </w:r>
      <w:r>
        <w:rPr/>
        <w:t xml:space="preserve">. San Francisco: Morgan Kaufmann, 1994.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POSTGRESQL GLOBAL DEVELOPMENT GROUP. </w:t>
      </w:r>
      <w:r>
        <w:rPr>
          <w:b/>
        </w:rPr>
        <w:t xml:space="preserve">Documentação oficial do PostgreSQL</w:t>
      </w:r>
      <w:r>
        <w:rPr/>
        <w:t xml:space="preserve">. 2025. Disponível em: https://www.postgresql.org/docs. Acesso em: 6 set. 2026.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PRODANOV, Cleber Cristiano; FREITAS, Ernani Cesar de. </w:t>
      </w:r>
      <w:r>
        <w:rPr>
          <w:b/>
        </w:rPr>
        <w:t xml:space="preserve">Metodologia do trabalho científico</w:t>
      </w:r>
      <w:r>
        <w:rPr/>
        <w:t xml:space="preserve">: métodos e técnicas da pesquisa e do trabalho acadêmico. 2. ed. Novo Hamburgo: Feevale, 2013. ISBN 978-85-7717-158-3.</w:t>
      </w:r>
    </w:p>
    <w:p w14:paraId="2A3CE1CF" w14:textId="77777777" w:rsidR="00A0331C" w:rsidRDefault="00A0331C" w:rsidP="00A0331C">
      <w:pPr>
        <w:spacing w:line="240" w:lineRule="auto"/>
      </w:pPr>
    </w:p>
    <w:p w14:paraId="71216C19" w14:textId="77777777" w:rsidR="00A0331C" w:rsidRDefault="00A0331C" w:rsidP="00A0331C">
      <w:pPr>
        <w:spacing w:line="240" w:lineRule="auto"/>
        <w:ind w:firstLine="0"/>
        <w:jc w:val="left"/>
      </w:pPr>
      <w:r>
        <w:rPr/>
        <w:t xml:space="preserve">UNOKI, Jefferson Hiroshi; CANDIDO, Vilmar Francisco. </w:t>
      </w:r>
      <w:r>
        <w:rPr>
          <w:b/>
        </w:rPr>
        <w:t xml:space="preserve">Sistema de monitoramento e correção de pH para aquários domésticos</w:t>
      </w:r>
      <w:r>
        <w:rPr/>
        <w:t xml:space="preserve">. 2019. 56 f. Trabalho de Conclusão de Curso (Tecnologia em Mecatrônica Industrial) — Universidade Tecnológica Federal do Paraná, Curitiba, 2019.</w:t>
      </w:r>
    </w:p>
    <w:sectPr w:rsidR="00CD7639" w:rsidSect="00EF593F">
      <w:headerReference w:type="even" r:id="rId6"/>
      <w:headerReference w:type="default" r:id="rId7"/>
      <w:headerReference w:type="first" r:id="rId8"/>
      <w:pgSz w:w="11906" w:h="16838"/>
      <w:pgMar w:top="1701" w:right="1134" w:bottom="1134" w:left="170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3391" w14:textId="77777777" w:rsidR="002C6CF1" w:rsidRDefault="002C6CF1" w:rsidP="00CD30D7">
      <w:pPr>
        <w:spacing w:line="240" w:lineRule="auto"/>
      </w:pPr>
      <w:r>
        <w:separator/>
      </w:r>
    </w:p>
  </w:endnote>
  <w:endnote w:type="continuationSeparator" w:id="0">
    <w:p w14:paraId="203355F3" w14:textId="77777777" w:rsidR="002C6CF1" w:rsidRDefault="002C6CF1" w:rsidP="00CD30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08B8B" w14:textId="77777777" w:rsidR="002C6CF1" w:rsidRDefault="002C6CF1" w:rsidP="00CD30D7">
      <w:pPr>
        <w:spacing w:line="240" w:lineRule="auto"/>
      </w:pPr>
      <w:r>
        <w:separator/>
      </w:r>
    </w:p>
  </w:footnote>
  <w:footnote w:type="continuationSeparator" w:id="0">
    <w:p w14:paraId="3A23B1AD" w14:textId="77777777" w:rsidR="002C6CF1" w:rsidRDefault="002C6CF1" w:rsidP="00CD30D7">
      <w:pPr>
        <w:spacing w:line="240" w:lineRule="auto"/>
      </w:pPr>
      <w:r>
        <w:continuationSeparator/>
      </w:r>
    </w:p>
  </w:footnote>
  <w:footnote w:id="1">
    <w:p w14:paraId="4FFD5AA8" w14:textId="77777777" w:rsidR="00A0331C" w:rsidRPr="005036A7" w:rsidRDefault="00A0331C" w:rsidP="00A0331C">
      <w:pPr>
        <w:pStyle w:val="Textodenotaderodap"/>
        <w:jc w:val="both"/>
        <w:rPr>
          <w:rFonts w:ascii="Arial" w:hAnsi="Arial" w:cs="Arial"/>
        </w:rPr>
      </w:pPr>
      <w:r w:rsidRPr="005036A7">
        <w:rPr>
          <w:rStyle w:val="Refdenotaderodap"/>
          <w:rFonts w:ascii="Arial" w:hAnsi="Arial" w:cs="Arial"/>
        </w:rPr>
        <w:footnoteRef/>
      </w:r>
      <w:r>
        <w:rPr>
          <w:rFonts w:ascii="Arial" w:hAnsi="Arial" w:cs="Arial"/>
        </w:rPr>
        <w:t xml:space="preserve"> Qualificação.</w:t>
      </w:r>
      <w:r w:rsidRPr="005036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 qualificação o acadêmico deve indicar o curso, o período e a Instituição de Ensino. As informações devem ser separadas por vírgula.</w:t>
      </w:r>
    </w:p>
  </w:footnote>
  <w:footnote w:id="2">
    <w:p w14:paraId="458BB7F9" w14:textId="77777777" w:rsidR="00A0331C" w:rsidRPr="005036A7" w:rsidRDefault="00A0331C" w:rsidP="00A0331C">
      <w:pPr>
        <w:pStyle w:val="Textodenotaderodap"/>
        <w:jc w:val="both"/>
        <w:rPr>
          <w:rFonts w:ascii="Arial" w:hAnsi="Arial" w:cs="Arial"/>
        </w:rPr>
      </w:pPr>
      <w:r w:rsidRPr="005036A7">
        <w:rPr>
          <w:rStyle w:val="Refdenotaderodap"/>
          <w:rFonts w:ascii="Arial" w:hAnsi="Arial" w:cs="Arial"/>
        </w:rPr>
        <w:footnoteRef/>
      </w:r>
      <w:r w:rsidRPr="005036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Qualificação.</w:t>
      </w:r>
    </w:p>
  </w:footnote>
  <w:footnote w:id="3">
    <w:p w14:paraId="1C1D963D" w14:textId="77777777" w:rsidR="00A0331C" w:rsidRPr="005036A7" w:rsidRDefault="00A0331C" w:rsidP="00A0331C">
      <w:pPr>
        <w:pStyle w:val="Textodenotaderodap"/>
        <w:jc w:val="both"/>
        <w:rPr>
          <w:rFonts w:ascii="Arial" w:hAnsi="Arial" w:cs="Arial"/>
        </w:rPr>
      </w:pPr>
      <w:r w:rsidRPr="005036A7">
        <w:rPr>
          <w:rStyle w:val="Refdenotaderodap"/>
          <w:rFonts w:ascii="Arial" w:hAnsi="Arial" w:cs="Arial"/>
        </w:rPr>
        <w:footnoteRef/>
      </w:r>
      <w:r w:rsidRPr="005036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Qualificação do orientador.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8DC6" w14:textId="77777777" w:rsidR="00CD30D7" w:rsidRDefault="002C6CF1">
    <w:pPr>
      <w:pStyle w:val="Cabealho"/>
    </w:pPr>
    <w:r>
      <w:rPr>
        <w:noProof/>
        <w:lang w:eastAsia="pt-BR"/>
      </w:rPr>
      <w:pict w14:anchorId="5BE60B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68860" o:spid="_x0000_s1027" type="#_x0000_t75" alt="" style="position:absolute;left:0;text-align:left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ermelh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E609" w14:textId="77777777" w:rsidR="00E54108" w:rsidRDefault="002C6CF1">
    <w:pPr>
      <w:pStyle w:val="Cabealho"/>
    </w:pPr>
    <w:r>
      <w:rPr>
        <w:noProof/>
        <w:lang w:eastAsia="pt-BR"/>
      </w:rPr>
      <w:pict w14:anchorId="300BEB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68861" o:spid="_x0000_s1026" type="#_x0000_t75" alt="" style="position:absolute;left:0;text-align:left;margin-left:-85.2pt;margin-top:-84.55pt;width:595.2pt;height:841.9pt;z-index:-251656192;mso-wrap-edited:f;mso-width-percent:0;mso-height-percent:0;mso-position-horizontal-relative:margin;mso-position-vertical-relative:margin;mso-width-percent:0;mso-height-percent:0" o:allowincell="f">
          <v:imagedata r:id="rId1" o:title="Vermelh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8FA9" w14:textId="77777777" w:rsidR="00CD30D7" w:rsidRDefault="002C6CF1">
    <w:pPr>
      <w:pStyle w:val="Cabealho"/>
    </w:pPr>
    <w:r>
      <w:rPr>
        <w:noProof/>
        <w:lang w:eastAsia="pt-BR"/>
      </w:rPr>
      <w:pict w14:anchorId="4C62F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68859" o:spid="_x0000_s1025" type="#_x0000_t75" alt="" style="position:absolute;left:0;text-align:left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ermelh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D7"/>
    <w:rsid w:val="00170433"/>
    <w:rsid w:val="00210E32"/>
    <w:rsid w:val="002901C0"/>
    <w:rsid w:val="002C6CF1"/>
    <w:rsid w:val="00322548"/>
    <w:rsid w:val="004764BE"/>
    <w:rsid w:val="005A57BA"/>
    <w:rsid w:val="00726705"/>
    <w:rsid w:val="007E1CE1"/>
    <w:rsid w:val="00A0331C"/>
    <w:rsid w:val="00A96F7F"/>
    <w:rsid w:val="00AE6CA8"/>
    <w:rsid w:val="00B27353"/>
    <w:rsid w:val="00BA3C98"/>
    <w:rsid w:val="00CD30D7"/>
    <w:rsid w:val="00D77835"/>
    <w:rsid w:val="00E54108"/>
    <w:rsid w:val="00EF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9EFD70"/>
  <w15:chartTrackingRefBased/>
  <w15:docId w15:val="{F36A78CC-C507-4DDC-A547-A577613C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1C0"/>
    <w:pPr>
      <w:spacing w:after="0"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D30D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30D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CD30D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30D7"/>
    <w:rPr>
      <w:rFonts w:ascii="Arial" w:hAnsi="Arial"/>
      <w:sz w:val="24"/>
    </w:rPr>
  </w:style>
  <w:style w:type="paragraph" w:customStyle="1" w:styleId="Default">
    <w:name w:val="Default"/>
    <w:rsid w:val="00A0331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pt-BR"/>
    </w:rPr>
  </w:style>
  <w:style w:type="paragraph" w:styleId="SemEspaamento">
    <w:name w:val="No Spacing"/>
    <w:uiPriority w:val="1"/>
    <w:qFormat/>
    <w:rsid w:val="00A0331C"/>
    <w:pPr>
      <w:spacing w:after="0" w:line="240" w:lineRule="auto"/>
    </w:pPr>
    <w:rPr>
      <w:rFonts w:eastAsiaTheme="minorEastAsia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0331C"/>
    <w:pPr>
      <w:spacing w:line="240" w:lineRule="auto"/>
      <w:jc w:val="left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0331C"/>
    <w:rPr>
      <w:rFonts w:eastAsiaTheme="minorEastAsia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A033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Campo Real</dc:creator>
  <cp:keywords/>
  <dc:description/>
  <cp:lastModifiedBy>Rafael Pedroso</cp:lastModifiedBy>
  <cp:revision>2</cp:revision>
  <dcterms:created xsi:type="dcterms:W3CDTF">2026-06-02T12:22:00Z</dcterms:created>
  <dcterms:modified xsi:type="dcterms:W3CDTF">2026-06-02T12:22:00Z</dcterms:modified>
</cp:coreProperties>
</file>