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32FF" w14:textId="100D4988" w:rsidR="009A39A2" w:rsidRPr="009A39A2" w:rsidRDefault="009A39A2" w:rsidP="009A39A2">
      <w:pPr>
        <w:rPr>
          <w:sz w:val="32"/>
          <w:szCs w:val="32"/>
        </w:rPr>
      </w:pPr>
      <w:r>
        <w:rPr>
          <w:sz w:val="32"/>
          <w:szCs w:val="32"/>
        </w:rPr>
        <w:t>QUESTION 1</w:t>
      </w:r>
    </w:p>
    <w:p w14:paraId="052732BC" w14:textId="4D657395" w:rsidR="009A39A2" w:rsidRPr="009A39A2" w:rsidRDefault="009A39A2" w:rsidP="009A39A2">
      <w:r w:rsidRPr="009A39A2">
        <w:t>Security:</w:t>
      </w:r>
      <w:r w:rsidRPr="009A39A2">
        <w:br/>
      </w:r>
      <w:r w:rsidRPr="009A39A2">
        <w:br/>
        <w:t>On-premises: Network, software, and hardware security are entirely the organization's responsibility. Although it costs more and calls for a highly qualified IT staff, this gives you more control.</w:t>
      </w:r>
      <w:sdt>
        <w:sdtPr>
          <w:id w:val="-2141714969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  <w:r w:rsidRPr="009A39A2">
        <w:br/>
      </w:r>
      <w:r w:rsidRPr="009A39A2">
        <w:br/>
        <w:t xml:space="preserve">Cloud: The consumer and the cloud provider share security. Azure or AWS, for instance, manage upgrades, physical security, and fundamental data protection, freeing up businesses like </w:t>
      </w:r>
      <w:proofErr w:type="spellStart"/>
      <w:r w:rsidRPr="009A39A2">
        <w:t>EventEase</w:t>
      </w:r>
      <w:proofErr w:type="spellEnd"/>
      <w:r w:rsidRPr="009A39A2">
        <w:t xml:space="preserve"> to concentrate on application-level security.</w:t>
      </w:r>
      <w:sdt>
        <w:sdtPr>
          <w:id w:val="-731851192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  <w:r w:rsidRPr="009A39A2">
        <w:br/>
      </w:r>
      <w:r w:rsidRPr="009A39A2">
        <w:br/>
        <w:t>Speed of Deployment:</w:t>
      </w:r>
      <w:r w:rsidRPr="009A39A2">
        <w:br/>
      </w:r>
      <w:r w:rsidRPr="009A39A2">
        <w:br/>
        <w:t>On-premises: Because of hardware setup and acquisition, infrastructure setup might take weeks or even months.</w:t>
      </w:r>
      <w:sdt>
        <w:sdtPr>
          <w:id w:val="1415984611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  <w:r w:rsidRPr="009A39A2">
        <w:br/>
      </w:r>
      <w:r w:rsidRPr="009A39A2">
        <w:br/>
        <w:t xml:space="preserve">Cloud: Quick provisioning is made possible by cloud systems. With only a few configuration steps, </w:t>
      </w:r>
      <w:proofErr w:type="spellStart"/>
      <w:r w:rsidRPr="009A39A2">
        <w:t>EventEase</w:t>
      </w:r>
      <w:proofErr w:type="spellEnd"/>
      <w:r w:rsidRPr="009A39A2">
        <w:t xml:space="preserve"> can quickly deploy its booking system using services like Azure App Service.</w:t>
      </w:r>
      <w:sdt>
        <w:sdtPr>
          <w:id w:val="-172655178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</w:p>
    <w:p w14:paraId="1E369BBB" w14:textId="53D9BF35" w:rsidR="009A39A2" w:rsidRPr="009A39A2" w:rsidRDefault="009A39A2" w:rsidP="009A39A2">
      <w:r w:rsidRPr="009A39A2">
        <w:t>Management of Resources:</w:t>
      </w:r>
      <w:r w:rsidRPr="009A39A2">
        <w:br/>
      </w:r>
      <w:r w:rsidRPr="009A39A2">
        <w:br/>
        <w:t xml:space="preserve">On-premises: There are no moving resources. </w:t>
      </w:r>
      <w:proofErr w:type="gramStart"/>
      <w:r w:rsidRPr="009A39A2">
        <w:t>In order to</w:t>
      </w:r>
      <w:proofErr w:type="gramEnd"/>
      <w:r w:rsidRPr="009A39A2">
        <w:t xml:space="preserve"> scale up, more servers must be bought and installed, which is costly and time-consuming.</w:t>
      </w:r>
      <w:sdt>
        <w:sdtPr>
          <w:id w:val="-650138310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  <w:r w:rsidRPr="009A39A2">
        <w:br/>
      </w:r>
      <w:r w:rsidRPr="009A39A2">
        <w:br/>
        <w:t xml:space="preserve">Cloud: Resources are dynamically scalable. Using Azure Auto-Scale or AWS Elastic Beanstalk, </w:t>
      </w:r>
      <w:proofErr w:type="spellStart"/>
      <w:r w:rsidRPr="009A39A2">
        <w:t>EventEase</w:t>
      </w:r>
      <w:proofErr w:type="spellEnd"/>
      <w:r w:rsidRPr="009A39A2">
        <w:t xml:space="preserve"> may automatically scale in response to demand, preventing over-provisioning and lowering expenses.</w:t>
      </w:r>
      <w:sdt>
        <w:sdtPr>
          <w:id w:val="-2095154445"/>
          <w:citation/>
        </w:sdtPr>
        <w:sdtContent>
          <w:r>
            <w:fldChar w:fldCharType="begin"/>
          </w:r>
          <w:r>
            <w:instrText xml:space="preserve"> CITATION Aar25 \l 7177 </w:instrText>
          </w:r>
          <w:r>
            <w:fldChar w:fldCharType="separate"/>
          </w:r>
          <w:r>
            <w:rPr>
              <w:noProof/>
            </w:rPr>
            <w:t xml:space="preserve"> (Keeports, 2025)</w:t>
          </w:r>
          <w:r>
            <w:fldChar w:fldCharType="end"/>
          </w:r>
        </w:sdtContent>
      </w:sdt>
    </w:p>
    <w:p w14:paraId="22F132D0" w14:textId="77777777" w:rsidR="009A39A2" w:rsidRDefault="009A39A2"/>
    <w:p w14:paraId="0AFAA1C8" w14:textId="77777777" w:rsidR="009A39A2" w:rsidRDefault="009A39A2"/>
    <w:p w14:paraId="1729FEBB" w14:textId="77777777" w:rsidR="009A39A2" w:rsidRDefault="009A39A2"/>
    <w:p w14:paraId="2D9841FA" w14:textId="77777777" w:rsidR="009A39A2" w:rsidRDefault="009A39A2" w:rsidP="009A39A2"/>
    <w:p w14:paraId="28427927" w14:textId="77777777" w:rsidR="009A39A2" w:rsidRDefault="009A39A2" w:rsidP="009A39A2"/>
    <w:p w14:paraId="2D3FCF9C" w14:textId="77777777" w:rsidR="009A39A2" w:rsidRDefault="009A39A2" w:rsidP="009A39A2"/>
    <w:p w14:paraId="66E704E8" w14:textId="77777777" w:rsidR="009A39A2" w:rsidRDefault="009A39A2" w:rsidP="009A39A2"/>
    <w:p w14:paraId="62617E58" w14:textId="77777777" w:rsidR="009A39A2" w:rsidRDefault="009A39A2" w:rsidP="009A39A2"/>
    <w:p w14:paraId="02C817AB" w14:textId="242CC73D" w:rsidR="009A39A2" w:rsidRPr="009A39A2" w:rsidRDefault="009A39A2" w:rsidP="009A39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</w:t>
      </w:r>
    </w:p>
    <w:p w14:paraId="64C57F67" w14:textId="3300E656" w:rsidR="009A39A2" w:rsidRPr="009A39A2" w:rsidRDefault="009A39A2" w:rsidP="009A39A2">
      <w:r w:rsidRPr="009A39A2">
        <w:t>Three distinct cloud service types</w:t>
      </w:r>
      <w:r>
        <w:t xml:space="preserve"> like </w:t>
      </w:r>
      <w:r w:rsidRPr="009A39A2">
        <w:t>IaaS, PaaS, and SaaS</w:t>
      </w:r>
      <w:r>
        <w:t xml:space="preserve"> where </w:t>
      </w:r>
      <w:r w:rsidRPr="009A39A2">
        <w:t xml:space="preserve">each provide </w:t>
      </w:r>
      <w:r w:rsidR="00E20A9A">
        <w:t xml:space="preserve">many </w:t>
      </w:r>
      <w:r w:rsidRPr="009A39A2">
        <w:t xml:space="preserve">degrees of authority and accountability. </w:t>
      </w:r>
      <w:sdt>
        <w:sdtPr>
          <w:id w:val="1790701917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>(LeanIX, n.d.)</w:t>
          </w:r>
          <w:r>
            <w:fldChar w:fldCharType="end"/>
          </w:r>
        </w:sdtContent>
      </w:sdt>
      <w:proofErr w:type="gramStart"/>
      <w:r w:rsidRPr="009A39A2">
        <w:t>IaaS,</w:t>
      </w:r>
      <w:proofErr w:type="gramEnd"/>
      <w:r w:rsidRPr="009A39A2">
        <w:t xml:space="preserve"> provides you with storage and virtual machines, among other fundamental computer resources. </w:t>
      </w:r>
      <w:proofErr w:type="gramStart"/>
      <w:r w:rsidRPr="009A39A2">
        <w:t>Similar to</w:t>
      </w:r>
      <w:proofErr w:type="gramEnd"/>
      <w:r w:rsidRPr="009A39A2">
        <w:t xml:space="preserve"> renting a computer in the cloud, you are still responsible for managing the operating system and the applications. Amazon EC2 and Azure Virtual Machines are examples of this.</w:t>
      </w:r>
      <w:sdt>
        <w:sdtPr>
          <w:id w:val="1937788130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 xml:space="preserve"> (LeanIX, n.d.)</w:t>
          </w:r>
          <w:r>
            <w:fldChar w:fldCharType="end"/>
          </w:r>
        </w:sdtContent>
      </w:sdt>
      <w:r w:rsidRPr="009A39A2">
        <w:t xml:space="preserve"> On the other hand, </w:t>
      </w:r>
      <w:proofErr w:type="gramStart"/>
      <w:r w:rsidRPr="009A39A2">
        <w:t>SaaS  eliminates</w:t>
      </w:r>
      <w:proofErr w:type="gramEnd"/>
      <w:r w:rsidRPr="009A39A2">
        <w:t xml:space="preserve"> the need for setup and maintenance by allowing you to utilize a fully functional online application, such as Google Docs. PaaS, is at the </w:t>
      </w:r>
      <w:proofErr w:type="spellStart"/>
      <w:r w:rsidRPr="009A39A2">
        <w:t>center</w:t>
      </w:r>
      <w:proofErr w:type="spellEnd"/>
      <w:r w:rsidRPr="009A39A2">
        <w:t>.</w:t>
      </w:r>
      <w:sdt>
        <w:sdtPr>
          <w:id w:val="-1023781824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 xml:space="preserve"> (LeanIX, n.d.)</w:t>
          </w:r>
          <w:r>
            <w:fldChar w:fldCharType="end"/>
          </w:r>
        </w:sdtContent>
      </w:sdt>
      <w:r w:rsidRPr="009A39A2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</w:t>
      </w:r>
      <w:r w:rsidRPr="009A39A2">
        <w:t xml:space="preserve">Without having to worry about maintaining the underlying infrastructure, it provides you with everything you need to create and execute programs, such as a </w:t>
      </w:r>
      <w:proofErr w:type="spellStart"/>
      <w:r w:rsidRPr="009A39A2">
        <w:t>pre</w:t>
      </w:r>
      <w:r w:rsidR="00E20A9A">
        <w:t xml:space="preserve"> </w:t>
      </w:r>
      <w:r w:rsidRPr="009A39A2">
        <w:t>set</w:t>
      </w:r>
      <w:proofErr w:type="spellEnd"/>
      <w:r w:rsidRPr="009A39A2">
        <w:t xml:space="preserve"> environment with tools, databases, and frameworks.</w:t>
      </w:r>
      <w:sdt>
        <w:sdtPr>
          <w:id w:val="1326624380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 xml:space="preserve"> (LeanIX, n.d.)</w:t>
          </w:r>
          <w:r>
            <w:fldChar w:fldCharType="end"/>
          </w:r>
        </w:sdtContent>
      </w:sdt>
      <w:r w:rsidRPr="009A39A2">
        <w:t xml:space="preserve"> Azure App Service </w:t>
      </w:r>
      <w:r w:rsidR="00E20A9A">
        <w:t>is an</w:t>
      </w:r>
      <w:r w:rsidRPr="009A39A2">
        <w:t xml:space="preserve">  example.</w:t>
      </w:r>
      <w:sdt>
        <w:sdtPr>
          <w:id w:val="-1674176963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 xml:space="preserve"> (LeanIX, n.d.)</w:t>
          </w:r>
          <w:r>
            <w:fldChar w:fldCharType="end"/>
          </w:r>
        </w:sdtContent>
      </w:sdt>
      <w:r w:rsidRPr="009A39A2">
        <w:t xml:space="preserve"> PaaS would be the </w:t>
      </w:r>
      <w:r w:rsidR="00E20A9A">
        <w:t xml:space="preserve">better </w:t>
      </w:r>
      <w:r w:rsidRPr="009A39A2">
        <w:t xml:space="preserve">option for a business like </w:t>
      </w:r>
      <w:proofErr w:type="spellStart"/>
      <w:r w:rsidRPr="009A39A2">
        <w:t>EventEase</w:t>
      </w:r>
      <w:proofErr w:type="spellEnd"/>
      <w:r w:rsidRPr="009A39A2">
        <w:t xml:space="preserve"> that is developing a new booking system. The team can concentrate on writing and deploying features rather than managing servers and upgrades, which saves time and effort. </w:t>
      </w:r>
      <w:r w:rsidR="00E20A9A">
        <w:t>I</w:t>
      </w:r>
      <w:r w:rsidRPr="009A39A2">
        <w:t>t</w:t>
      </w:r>
      <w:r w:rsidR="00E20A9A">
        <w:t xml:space="preserve"> also</w:t>
      </w:r>
      <w:r w:rsidRPr="009A39A2">
        <w:t xml:space="preserve"> facilitates tasks like app scalability during peak usage, which is quite helpful for an event management platform.</w:t>
      </w:r>
      <w:sdt>
        <w:sdtPr>
          <w:id w:val="1513883308"/>
          <w:citation/>
        </w:sdtPr>
        <w:sdtContent>
          <w:r>
            <w:fldChar w:fldCharType="begin"/>
          </w:r>
          <w:r>
            <w:instrText xml:space="preserve"> CITATION Lea \l 7177 </w:instrText>
          </w:r>
          <w:r>
            <w:fldChar w:fldCharType="separate"/>
          </w:r>
          <w:r>
            <w:rPr>
              <w:noProof/>
            </w:rPr>
            <w:t xml:space="preserve"> (LeanIX, n.d.)</w:t>
          </w:r>
          <w:r>
            <w:fldChar w:fldCharType="end"/>
          </w:r>
        </w:sdtContent>
      </w:sdt>
    </w:p>
    <w:p w14:paraId="3C2EA2BE" w14:textId="07B58B35" w:rsidR="009A39A2" w:rsidRPr="009A39A2" w:rsidRDefault="009A39A2" w:rsidP="009A39A2"/>
    <w:sdt>
      <w:sdtPr>
        <w:id w:val="-143281601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AB66E22" w14:textId="020357D2" w:rsidR="009A39A2" w:rsidRDefault="009A39A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B32E98D" w14:textId="71A6F707" w:rsidR="009A39A2" w:rsidRDefault="009A39A2" w:rsidP="009A39A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Keeports,</w:t>
              </w:r>
              <w:r w:rsidR="00E20A9A">
                <w:rPr>
                  <w:noProof/>
                </w:rPr>
                <w:t xml:space="preserve">A, </w:t>
              </w:r>
              <w:r>
                <w:rPr>
                  <w:noProof/>
                </w:rPr>
                <w:t xml:space="preserve">2025. </w:t>
              </w:r>
              <w:r>
                <w:rPr>
                  <w:i/>
                  <w:iCs/>
                  <w:noProof/>
                </w:rPr>
                <w:t>On Premise vs. Cloud: Key Differences, Benefits and Risks</w:t>
              </w:r>
              <w:r>
                <w:rPr>
                  <w:noProof/>
                </w:rPr>
                <w:t>.</w:t>
              </w:r>
              <w:r w:rsidR="00E20A9A">
                <w:rPr>
                  <w:noProof/>
                </w:rPr>
                <w:t>[online] Available at:&lt;</w:t>
              </w:r>
              <w:r>
                <w:rPr>
                  <w:noProof/>
                </w:rPr>
                <w:t xml:space="preserve"> https://www.cleo.com/blog/knowledge-base-on-premise-vs-cloud?utm_source=chatgpt.com</w:t>
              </w:r>
              <w:r w:rsidR="00E20A9A">
                <w:rPr>
                  <w:noProof/>
                </w:rPr>
                <w:t>&gt; [Accessed 6 April 2025]</w:t>
              </w:r>
            </w:p>
            <w:p w14:paraId="496BFA36" w14:textId="77777777" w:rsidR="00E20A9A" w:rsidRDefault="009A39A2" w:rsidP="00E20A9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rPr>
                  <w:noProof/>
                </w:rPr>
                <w:t xml:space="preserve">LeanIX. (n.d.). </w:t>
              </w:r>
              <w:r>
                <w:rPr>
                  <w:i/>
                  <w:iCs/>
                  <w:noProof/>
                </w:rPr>
                <w:t>The difference between IaaS, PaaS, and SaaS</w:t>
              </w:r>
              <w:r>
                <w:rPr>
                  <w:noProof/>
                </w:rPr>
                <w:t xml:space="preserve">. </w:t>
              </w:r>
              <w:r w:rsidR="00E20A9A">
                <w:rPr>
                  <w:noProof/>
                </w:rPr>
                <w:t>[online] Available at:&lt;</w:t>
              </w:r>
              <w:r>
                <w:rPr>
                  <w:noProof/>
                </w:rPr>
                <w:t>https://www.leanix.net/en/wiki/apm/iaas-vs-paas-vs-saas</w:t>
              </w:r>
              <w:r w:rsidR="00E20A9A">
                <w:rPr>
                  <w:noProof/>
                </w:rPr>
                <w:t xml:space="preserve">&gt; </w:t>
              </w:r>
              <w:r w:rsidR="00E20A9A">
                <w:rPr>
                  <w:noProof/>
                </w:rPr>
                <w:t>[Accessed 6 April 2025]</w:t>
              </w:r>
            </w:p>
            <w:p w14:paraId="4B36A72E" w14:textId="4E6AD7B0" w:rsidR="009A39A2" w:rsidRDefault="009A39A2" w:rsidP="009A39A2">
              <w:pPr>
                <w:pStyle w:val="Bibliography"/>
                <w:ind w:left="720" w:hanging="720"/>
                <w:rPr>
                  <w:noProof/>
                </w:rPr>
              </w:pPr>
            </w:p>
            <w:p w14:paraId="13ABB1DF" w14:textId="61CC9F2C" w:rsidR="009A39A2" w:rsidRDefault="009A39A2" w:rsidP="009A39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7F889C" w14:textId="64E78EFC" w:rsidR="009A39A2" w:rsidRDefault="009A39A2"/>
    <w:sectPr w:rsidR="009A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A2"/>
    <w:rsid w:val="00064AF4"/>
    <w:rsid w:val="009A39A2"/>
    <w:rsid w:val="00E2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98C54"/>
  <w15:chartTrackingRefBased/>
  <w15:docId w15:val="{1EA7A7EB-9F9C-42D5-AD5D-DF1DA587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9A2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9A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Lea</b:Tag>
    <b:SourceType>InternetSite</b:SourceType>
    <b:Guid>{ED254661-6986-41EC-84F1-7A032102E649}</b:Guid>
    <b:Title>The difference between IaaS, PaaS, and SaaS</b:Title>
    <b:Author>
      <b:Author>
        <b:NameList>
          <b:Person>
            <b:Last>LeanIX</b:Last>
          </b:Person>
        </b:NameList>
      </b:Author>
    </b:Author>
    <b:URL>https://www.leanix.net/en/wiki/apm/iaas-vs-paas-vs-saas</b:URL>
    <b:RefOrder>2</b:RefOrder>
  </b:Source>
  <b:Source>
    <b:Tag>Aar25</b:Tag>
    <b:SourceType>InternetSite</b:SourceType>
    <b:Guid>{5FC59FF0-C99A-498D-9F98-0B9C8D88D8F6}</b:Guid>
    <b:Author>
      <b:Author>
        <b:NameList>
          <b:Person>
            <b:Last>Keeports</b:Last>
            <b:First>Aaron</b:First>
          </b:Person>
        </b:NameList>
      </b:Author>
    </b:Author>
    <b:Title>On Premise vs. Cloud: Key Differences, Benefits and Risks</b:Title>
    <b:Year>2025</b:Year>
    <b:URL>https://www.cleo.com/blog/knowledge-base-on-premise-vs-cloud?utm_source=chatgpt.com</b:URL>
    <b:RefOrder>1</b:RefOrder>
  </b:Source>
</b:Sources>
</file>

<file path=customXml/itemProps1.xml><?xml version="1.0" encoding="utf-8"?>
<ds:datastoreItem xmlns:ds="http://schemas.openxmlformats.org/officeDocument/2006/customXml" ds:itemID="{43D43A05-A833-41BC-8629-9AE4964D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1</cp:revision>
  <dcterms:created xsi:type="dcterms:W3CDTF">2025-04-07T18:33:00Z</dcterms:created>
  <dcterms:modified xsi:type="dcterms:W3CDTF">2025-04-07T18:49:00Z</dcterms:modified>
</cp:coreProperties>
</file>