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  <w:jc w:val="center"/>
        <w:pBdr>
          <w:bottom w:val="nil"/>
        </w:pBdr>
      </w:pPr>
      <w:r>
        <w:rPr>
          <w:rFonts w:ascii="Linux Libertine" w:hAnsi="Linux Libertine" w:eastAsia="SimHei"/>
          <w:b/>
          <w:i w:val="0"/>
          <w:color w:val="000000"/>
          <w:sz w:val="28"/>
        </w:rPr>
        <w:t>面向动态智能体任务的按步执行与信息共享</w:t>
      </w:r>
    </w:p>
    <w:p>
      <w:pPr>
        <w:spacing w:after="4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Yaojunzhe Zhai¹  ·  Chao-Hsien Hsieh²</w:t>
      </w:r>
    </w:p>
    <w:p>
      <w:pPr>
        <w:spacing w:after="8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¹ Monash University Malaysia   ² Xi’an International University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摘要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智能体访问本地资料、云端模型和外部工具时，后续步骤及其所需输入可能随执行而改变。逐次选择发送量最少的视图，未必使整段任务的累计披露最少；直接枚举视图组合又容易使规划状态膨胀。本文介绍一个按步执行原型：将执行位置与接收方视图作为共同候选，按来源版本核验请求，并在传输预算内选择当前已知步骤的后续方案。规划器仅保留后续仍可能使用的披露项，将其余项转为累计成本，再分解不共享新增披露项的步骤。48 个构造负载的 144 个预算设置均与独立整数规划得到相同最优值；已有真实模型计划的重新执行验证了控制器与 HTTP 接收记录的一致性。双栏界面允许观众检查每一步的选择、实际发送内容及状态变化后的重算。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关键词：智能体执行；接收方视图；披露状态压缩；预算规划；系统演示。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1  问题与系统目标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企业智能体可能先检查内部记录，再向云端解释模型或业务工具发出请求。不同接收方需要不同输入：模型解释可以使用业务事实，检索工具只需查询条件，数值服务则可接收原值或已在本地计算的中间值。固定发送完整上下文会扩大共享范围，而固定裁剪又可能遗漏后来出现的需求。系统必须在每个已知步骤重新选择执行方式和输入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选择还受历史影响。两步均可发送同一对原值，或分别发送不同派生值；逐步贪心可能先选一个派生值，随后再披露两个新值。连续使用原值方案只增加两项不同披露，却可能产生更多重复传输。因此，累计不同披露项与传输字段次数需要分开控制。状态或能力变化后，这个选择还必须与结果缓存保持一致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PlanTwin [1]、PrivScope [2] 和 MINIM [3] 已研究规划抽象、任务范围与必要性裁剪。本文聚焦登记视图之间的有限选择：如何在不删除实际披露历史的前提下压缩搜索状态，并把选择落实为可核查的执行。状态压缩借鉴前沿搜索 [4]，不将动态规划或本地门控本身作为首次提出的技术。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本文提供三项可检查的结果：面向接收方并集成本和传输预算的精确规划；与版本核验、局部重算和真实 HTTP 请求衔接的控制器；分开报告优化正确性、规划开销和模型任务结果的开放演示。有限候选由应用登记，候选的语义等价性不由规划器自行推断。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1  按步执行的系统结构。原始资料保留在本地；每个新步骤或状态变化触发重新判定，外部执行通过登记出口完成，结果返回本地。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  后续相关披露规划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2.1  有限候选与优化目标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状态 S 保存来源版本、授权、能力和有效计算结果。当前已知的 m 个步骤各有有限候选集 Aᵢ；候选指定执行位置、接收方、输入视图、工作量与字段传输量。原值或派生值的标识包含接收方、表达式及来源版本。令 H 为此前实际发送的完整历史，E(a) 为候选的披露项，W、T 分别为总工作量和字段次数，则：</w:t>
      </w:r>
    </w:p>
    <w:p>
      <w:pPr>
        <w:spacing w:before="60" w:after="60"/>
        <w:jc w:val="center"/>
      </w:pPr>
      <m:oMathPara>
        <m:oMath>
          <m:limLow>
            <m:e>
              <m:r>
                <m:rPr>
                  <m:nor/>
                </m:rPr>
                <m:t>min lex</m:t>
              </m:r>
            </m:e>
            <m:lim>
              <m:r>
                <m:t>p∈P,T(p)≤B</m:t>
              </m:r>
            </m:lim>
          </m:limLow>
          <m:r>
            <m:t>(|</m:t>
          </m:r>
          <m:nary>
            <m:naryPr>
              <m:chr m:val="⋃"/>
              <m:limLoc m:val="undOvr"/>
              <m:grow m:val="1"/>
              <m:subHide m:val="off"/>
              <m:supHide m:val="on"/>
            </m:naryPr>
            <m:sub>
              <m:r>
                <m:t>a∈p</m:t>
              </m:r>
            </m:sub>
            <m:sup/>
            <m:e>
              <m:r>
                <m:t>E(a)∖H|,W(p),T(p))</m:t>
              </m:r>
            </m:e>
          </m:nary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(1)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P 仅含授权、能力与输入需求均满足的方案。B 是同阶段预算；重复发送仍消耗字段次数，历史披露不因重算而撤销。本地完成不增加披露项。该成本衡量显式共享项目，不衡量接收方可能推断出的全部信息。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2.2  保留仍与后续有关的状态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 Eᵢ 为当前前缀的新增披露集合，Uᵢ 为已知后缀所有候选可能披露的、尚不在 H 中的项目。完整集合保存已不可能复用的项目，会使本应等价的前缀无法合并。我们保留活动集合 Lᵢ，并用 zᵢ 计入退出该集合的项目：</w:t>
      </w:r>
    </w:p>
    <w:p>
      <w:pPr>
        <w:spacing w:before="60" w:after="60"/>
        <w:jc w:val="center"/>
      </w:pPr>
      <m:oMathPara>
        <m:oMath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∩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=|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∖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|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(2)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对任意共同后缀的新增披露集合 F⊆Uᵢ，退出的项目与后缀不相交，因此有：</w:t>
      </w:r>
    </w:p>
    <w:p>
      <w:pPr>
        <w:spacing w:before="60" w:after="60"/>
        <w:jc w:val="center"/>
      </w:pPr>
      <m:oMathPara>
        <m:oMath>
          <m:d>
            <m:dPr>
              <m:begChr m:val="|"/>
              <m:sepChr m:val=""/>
              <m:endChr m:val="|"/>
            </m:dP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∪</m:t>
              </m:r>
              <m:r>
                <m:t>F</m:t>
              </m:r>
              <m:r>
                <m:t>|</m:t>
              </m:r>
              <m:r>
                <m:t>=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+</m:t>
              </m:r>
              <m:r>
                <m:t>|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∪</m:t>
              </m:r>
              <m:r>
                <m:t>F</m:t>
              </m:r>
            </m:e>
          </m:d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(3)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加入候选后令 X=Lᵢ∪(E(a)∖H)，按下一边界更新。项目在最后一次可能出现后退出，之后不会被再次计数：</w:t>
      </w:r>
    </w:p>
    <w:p>
      <w:pPr>
        <w:spacing w:before="60" w:after="60"/>
        <w:jc w:val="center"/>
      </w:pPr>
      <m:oMathPara>
        <m:oMath>
          <m:sSup>
            <m:e>
              <m:r>
                <m:t>L</m:t>
              </m:r>
            </m:e>
            <m:sup>
              <m:r>
                <m:t>′</m:t>
              </m:r>
            </m:sup>
          </m:sSup>
          <m:r>
            <m:t>=X∩</m:t>
          </m:r>
          <m:sSub>
            <m:e>
              <m:r>
                <m:t>U</m:t>
              </m:r>
            </m:e>
            <m:sub>
              <m:r>
                <m:t>i+1</m:t>
              </m:r>
            </m:sub>
          </m:sSub>
          <m:r>
            <m:t>,</m:t>
          </m:r>
          <m:sSup>
            <m:e>
              <m:r>
                <m:t>z</m:t>
              </m:r>
            </m:e>
            <m:sup>
              <m:r>
                <m:t>′</m:t>
              </m:r>
            </m:sup>
          </m:sSup>
          <m:r>
            <m:t>=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+|X∖</m:t>
          </m:r>
          <m:sSub>
            <m:e>
              <m:r>
                <m:t>U</m:t>
              </m:r>
            </m:e>
            <m:sub>
              <m:r>
                <m:t>i+1</m:t>
              </m:r>
            </m:sub>
          </m:sSub>
          <m:r>
            <m:t>|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(4)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标签为 (L,z,w,b)。相同 L 下，若一个标签传输量不高，且已累计的 (z,w) 按字典序更优，则另一标签可被删除。严格较少的 z 优先于任何工作量差异：</w:t>
      </w:r>
    </w:p>
    <w:p>
      <w:pPr>
        <w:spacing w:before="60" w:after="60"/>
        <w:jc w:val="center"/>
      </w:pPr>
      <m:oMathPara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∧(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,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)</m:t>
          </m:r>
          <m:sSub>
            <m:e>
              <m:r>
                <m:t>≤</m:t>
              </m:r>
            </m:e>
            <m:sub>
              <m:r>
                <m:rPr>
                  <m:nor/>
                </m:rPr>
                <m:t>lex</m:t>
              </m:r>
            </m:sub>
          </m:sSub>
          <m:r>
            <m:t>(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t>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(5)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式（3）保证追加共同后缀后该关系仍成立。若后续可行性不依赖前缀所选表示，剪枝保留至少一个最优解。设跨边界可能复用的项目数最多为 ω，字段预算为整数 B，则保留标签数满足：</w:t>
      </w:r>
    </w:p>
    <w:p>
      <w:pPr>
        <w:spacing w:before="60" w:after="60"/>
        <w:jc w:val="center"/>
      </w:pPr>
      <m:oMathPara>
        <m:oMath>
          <m:r>
            <m:t>|</m:t>
          </m:r>
          <m:r>
            <m:rPr>
              <m:sty m:val="p"/>
            </m:rPr>
            <m:t>Labels</m:t>
          </m:r>
          <m:r>
            <m:t>|≤</m:t>
          </m:r>
          <m:sSup>
            <m:e>
              <m:r>
                <m:t>2</m:t>
              </m:r>
            </m:e>
            <m:sup>
              <m:r>
                <m:t>ω</m:t>
              </m:r>
            </m:sup>
          </m:sSup>
          <m:r>
            <m:t>(B+1)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(6)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这是依赖边界宽度和数值预算的界，不是一般多项式保证。实现还需要处理组内支配比较；超过 4,096 个标签会明确报告资源上限。</w:t>
      </w:r>
    </w:p>
    <w:p>
      <w:pPr>
        <w:spacing w:after="0" w:line="20" w:lineRule="exact"/>
      </w:pPr>
      <w:r>
        <w:br w:type="column"/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2.3  分解披露关联，保持执行顺序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两个步骤若有候选共享新增披露项，便在成本图中相连。不同连通分量的新增集合不相交，披露量、工作量和传输量可以相加。对每个分量求不同字段上限下的最优候选，再在统一 B 下组合成本前沿。任何全局最优解都可用相同字段上限下的分量最优解替换，因此分解保持最优值。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这里分解的是成本，不是执行过程。返回方案恢复原始步骤顺序，数据依赖和实际工具调用顺序保持不变；共享副作用或输出不等价的候选不适用该分解。完整证明和独立整数规划模型随代码提供。</w:t>
      </w:r>
    </w:p>
    <w:p>
      <w:pPr>
        <w:keepNext/>
        <w:spacing w:before="120" w:after="40"/>
        <w:pBdr>
          <w:top w:val="single" w:sz="6"/>
        </w:pBdr>
      </w:pPr>
      <w:r>
        <w:rPr>
          <w:rFonts w:ascii="Linux Libertine" w:hAnsi="Linux Libertine" w:eastAsia="SimHei"/>
          <w:b/>
          <w:i w:val="0"/>
          <w:color w:val="000000"/>
          <w:sz w:val="18"/>
        </w:rPr>
        <w:t>算法 1  后续相关披露规划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Input: known choices A, full history H, field budget B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Output: optimal registered plan, or explicit failure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1:  G ← ComponentsSharingNewTokens(A, H)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2:  for each component g in G do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3:      F[g] ← ∅; U ← KnownSuffixTokens(g, H)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4:      for each attainable field bound b ≤ B do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5:          L ← {(live=∅, retired=0, work=0, fields=0)}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6:          for each step i in original order of g do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7:              N ← ∅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8:              for each label l in L and choice a in A[i] do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9:                  if l.fields + a.fields &gt; b then continue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10:                 X ← l.live ∪ (Tokens(a) ∖ H)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11:                 live′ ← X ∩ U[i+1]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12:                 retired′ ← l.retired + |X ∖ U[i+1]|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13:                 N ← N ∪ Extend(l, a, live′, retired′)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14:             L ← PruneWithinEqualLiveSets(N)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15:             if |L| &gt; LIMIT then return LIMIT_REACHED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16:         if L ≠ ∅ then AddBest(F[g], L)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17:     F[g] ← PruneCostFrontier(F[g])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18: P ← CombineComponentsUnderOneBudget(F, B)</w:t>
      </w:r>
    </w:p>
    <w:p>
      <w:pPr>
        <w:keepNext/>
        <w:spacing w:after="0" w:line="252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19: if P is empty then return NO_FEASIBLE_PLAN</w:t>
      </w:r>
    </w:p>
    <w:p>
      <w:pPr>
        <w:keepNext w:val="0"/>
        <w:spacing w:after="0" w:line="252" w:lineRule="auto"/>
        <w:pBdr>
          <w:bottom w:val="single" w:sz="6"/>
        </w:pBdr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20: return RestoreOriginalStepOrder(Best(P))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2.4  从方案到实际请求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控制器逐步执行所选方案。发送前重新核对授权、能力和依赖来源版本，序列化后记录请求摘要；实际 HTTP 接收端保存正文与结果。新执行器在发起发送时记入披露历史，即使响应失败也不删除可能已经外发的信息。摘要用于核对本地记录，不是云服务商的独立证明。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源值更新只使依赖该源的结果失效；能力变化使候选重新选择，但不自动删除仍有效的结果。新步骤出现时，以完整 H 和当前已知后缀重新规划，曾退出搜索状态的项目仍在 H 中。系统不假定能够看见未来尚未出现的步骤。每个稳定阶段共用一个预算余额，不能在每次重规划时重新领取额度。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16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-u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2  新执行器的实际界面。① 从保存的真实模型响应创建步骤；② 本地能力变化后保留有效结果并重规划；③ 核对所选输入、发送内容及 HTTP 接收记录。截图裁去导航并添加编号，不增加实验样本数。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3  观众如何体验系统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界面沿用客户端的双栏任务布局：左侧自动推进执行，右侧显示当前步骤的接收方、输入选择、本地保留字段及请求正文。观众可以查看旧步骤并恢复跟随；整个任务无需逐步点击确认。中文与英文界面使用同一执行记录，展示时间与实际计算耗时分开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首先运行“真实模型计划·本地能力变化”。保存的 DeepSeek 调用先取得表结构，再提出相加、相加、相除的程序。首步在本地完成后，登记事件撤销本地加减能力；系统保留首步结果，向 HTTP 算子发送剩余计算所需的输入。切换“条件变化后全部重跑”，可直接观察多出的计算和请求。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随后比较已用与未用源值更新，检查哪些结果失效、哪些仍可复用。观众在同一页面切换压缩规划、完整状态规划和逐步贪心，查看所选输入与预算；这些短模型计划的最优值相同，页面不会为制造差异而篡改结果。较长任务的规模差异由公开规划实验单独展示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无密钥模式重新执行计算与 HTTP 请求，只复用已公开的模型计划；读者也可用自备密钥生成新计划。能力撤销和源值更新是预定的受控条件，不是模型发现的故障。算术服务为回环 HTTP 接收端，混合能力设置用于研究执行选择，不意味着基本算术必须外发。</w:t>
      </w:r>
    </w:p>
    <w:p>
      <w:pPr>
        <w:spacing w:after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4  实验设计与复核方式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实验分为算法问题、真实模型接入和受控执行三层。最终算法在开发检查后冻结源代码、生成规则和工作负载摘要；使用新的固定种子产生 48 个负载，每个分别设置不增加、增加 25% 和增加 100% 的字段预算，共 144 个设置。三档预算共享任务输入，不作为独立自然任务计数。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六类负载覆盖独立选择、局部共享、远距离重用、链式重叠、不同接收方和部分本地能力，长度为 8、16、32、64 步。工作量与已有历史重新抽样。这些是构造的登记候选，不是生产工作流，也不能估计实际隐私泄露频率。开发阶段的失败和完整记录同样保留。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最终对照为共享候选的逐步贪心、仅退出无关项的消融，以及 SciPy/HiGHS 独立整数规划 [6]；开发阶段另保留完整集合前沿的结果。整数模型对候选选择和披露项并集分别设二元变量，约束共用字段预算。比较最优目标三元组、资源上限、峰值状态和规划时间；所有失败计入分母。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接入实验复用此前冻结的 FinQA [5] 材料：24 道公开题、48 份真实模型计划及 96 次原始请求。新执行器与原执行器在五种条件下重新执行，共 480 次、522 条 HTTP 接收记录，没有新增模型调用。另用 250 个小问题穷举验证规划最优值；它们是算法测试，不能并入模型正确率。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s.zh-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3  既有真实模型计划的受控执行结果，每种方法 240 次。结果复用减少 HTTP 调用与字段传输；该短任务批次中贪心与后续规划一致。此图验证执行层，表 1—2 单独评价新的规划器。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5  结果与分析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表 1  最终规划结果（峰值取已完成设置）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55"/>
        <w:gridCol w:w="1066"/>
        <w:gridCol w:w="1109"/>
        <w:gridCol w:w="1066"/>
      </w:tblGrid>
      <w:tr>
        <w:tc>
          <w:tcPr>
            <w:tcW w:type="dxa" w:w="1555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方法</w:t>
            </w:r>
          </w:p>
        </w:tc>
        <w:tc>
          <w:tcPr>
            <w:tcW w:type="dxa" w:w="1066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求解成功</w:t>
            </w:r>
          </w:p>
        </w:tc>
        <w:tc>
          <w:tcPr>
            <w:tcW w:type="dxa" w:w="1109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同最优值</w:t>
            </w:r>
          </w:p>
        </w:tc>
        <w:tc>
          <w:tcPr>
            <w:tcW w:type="dxa" w:w="1066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峰值状态</w:t>
            </w:r>
          </w:p>
        </w:tc>
      </w:tr>
      <w:tr>
        <w:tc>
          <w:tcPr>
            <w:tcW w:type="dxa" w:w="1555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逐步贪心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144/144</w:t>
            </w:r>
          </w:p>
        </w:tc>
        <w:tc>
          <w:tcPr>
            <w:tcW w:type="dxa" w:w="110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48/144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</w:t>
            </w:r>
          </w:p>
        </w:tc>
      </w:tr>
      <w:tr>
        <w:tc>
          <w:tcPr>
            <w:tcW w:type="dxa" w:w="1555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仅退出无关项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129/144</w:t>
            </w:r>
          </w:p>
        </w:tc>
        <w:tc>
          <w:tcPr>
            <w:tcW w:type="dxa" w:w="110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129/144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3867</w:t>
            </w:r>
          </w:p>
        </w:tc>
      </w:tr>
      <w:tr>
        <w:tc>
          <w:tcPr>
            <w:tcW w:type="dxa" w:w="1555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完整压缩机制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144/144</w:t>
            </w:r>
          </w:p>
        </w:tc>
        <w:tc>
          <w:tcPr>
            <w:tcW w:type="dxa" w:w="1109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144/144</w:t>
            </w:r>
          </w:p>
        </w:tc>
        <w:tc>
          <w:tcPr>
            <w:tcW w:type="dxa" w:w="1066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287</w:t>
            </w:r>
          </w:p>
        </w:tc>
      </w:tr>
      <w:tr>
        <w:tc>
          <w:tcPr>
            <w:tcW w:type="dxa" w:w="1555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独立整数规划</w:t>
            </w:r>
          </w:p>
        </w:tc>
        <w:tc>
          <w:tcPr>
            <w:tcW w:type="dxa" w:w="1066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144/144</w:t>
            </w:r>
          </w:p>
        </w:tc>
        <w:tc>
          <w:tcPr>
            <w:tcW w:type="dxa" w:w="1109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144/144</w:t>
            </w:r>
          </w:p>
        </w:tc>
        <w:tc>
          <w:tcPr>
            <w:tcW w:type="dxa" w:w="1066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—</w:t>
            </w:r>
          </w:p>
        </w:tc>
      </w:tr>
    </w:tbl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完整机制在所有设置上与整数规划一致；仅退出无关项仍有 15 个设置达到标签上限。分量分解和按字典序支配删除恢复了这些可解设置。整数规划是独立最优值参照，表中的一致不等于本方法在所有任务上比通用求解器更快。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表 2  披露与传输的交换关系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901"/>
        <w:gridCol w:w="1814"/>
      </w:tblGrid>
      <w:tr>
        <w:tc>
          <w:tcPr>
            <w:tcW w:type="dxa" w:w="1080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预算增幅</w:t>
            </w:r>
          </w:p>
        </w:tc>
        <w:tc>
          <w:tcPr>
            <w:tcW w:type="dxa" w:w="1901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不同披露项</w:t>
            </w:r>
          </w:p>
        </w:tc>
        <w:tc>
          <w:tcPr>
            <w:tcW w:type="dxa" w:w="1814"/>
            <w:tcBorders>
              <w:top w:val="single" w:sz="4"/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/>
                <w:i w:val="0"/>
                <w:color w:val="000000"/>
                <w:sz w:val="15"/>
              </w:rPr>
              <w:t>字段次数</w:t>
            </w:r>
          </w:p>
        </w:tc>
      </w:tr>
      <w:tr>
        <w:tc>
          <w:tcPr>
            <w:tcW w:type="dxa" w:w="1080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0%</w:t>
            </w:r>
          </w:p>
        </w:tc>
        <w:tc>
          <w:tcPr>
            <w:tcW w:type="dxa" w:w="1901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1060 / 1081</w:t>
            </w:r>
          </w:p>
        </w:tc>
        <w:tc>
          <w:tcPr>
            <w:tcW w:type="dxa" w:w="1814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1602 / 1603</w:t>
            </w:r>
          </w:p>
        </w:tc>
      </w:tr>
      <w:tr>
        <w:tc>
          <w:tcPr>
            <w:tcW w:type="dxa" w:w="1080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25%</w:t>
            </w:r>
          </w:p>
        </w:tc>
        <w:tc>
          <w:tcPr>
            <w:tcW w:type="dxa" w:w="1901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923 / 1081</w:t>
            </w:r>
          </w:p>
        </w:tc>
        <w:tc>
          <w:tcPr>
            <w:tcW w:type="dxa" w:w="1814"/>
            <w:tcBorders/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1906 / 1603</w:t>
            </w:r>
          </w:p>
        </w:tc>
      </w:tr>
      <w:tr>
        <w:tc>
          <w:tcPr>
            <w:tcW w:type="dxa" w:w="1080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100%</w:t>
            </w:r>
          </w:p>
        </w:tc>
        <w:tc>
          <w:tcPr>
            <w:tcW w:type="dxa" w:w="1901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784 / 1081</w:t>
            </w:r>
          </w:p>
        </w:tc>
        <w:tc>
          <w:tcPr>
            <w:tcW w:type="dxa" w:w="1814"/>
            <w:tcBorders>
              <w:bottom w:val="single" w:sz="4"/>
            </w:tcBorders>
          </w:tcPr>
          <w:p>
            <w:pPr>
              <w:spacing w:after="40" w:line="240" w:lineRule="auto"/>
            </w:pPr>
            <w:r>
              <w:rPr>
                <w:rFonts w:ascii="Linux Libertine" w:hAnsi="Linux Libertine" w:eastAsia="SimSun"/>
                <w:b w:val="0"/>
                <w:i w:val="0"/>
                <w:color w:val="000000"/>
                <w:sz w:val="15"/>
              </w:rPr>
              <w:t>2342 / 1603</w:t>
            </w:r>
          </w:p>
        </w:tc>
      </w:tr>
    </w:tbl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每格为“完整机制 / 贪心”，各行含 48 个相同负载。不增加预算时不同披露项减少 1.9%；预算放宽 25% 时减少 14.6%，实际传输却增加 18.9%。减少不同项目不等于减少通信，更不等于同比减少隐私风险。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新执行器的 480 次运行均与给定程序结果一致，接收正文与发送摘要逐条相符。但原始模型答案与题目标签仅 28/48 一致；规划压缩不会修复模型选错年份或公式。既有实验的 HTTP 调用从 331 次降到 261 次来自结果复用，不能归为本轮规划算法的收益。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串行复测每个设置五次，先取各设置中位数。完整机制与整数规划的总体中位数分别为 0.53 和 2.75 毫秒；最大设置中位数为 380.0 和 2109.4 毫秒。硬件及逐次时间随记录提供。</w:t>
      </w:r>
    </w:p>
    <w:p>
      <w:pPr>
        <w:spacing w:after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6  适用范围与开放实现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方法适用于输出等价、成本与后续可行性可登记的有限候选。后缀范围大、披露关联紧密或预算很大时仍可能遇到资源上限；当前不优化步骤顺序，也不保证未知未来的全局最优。登记依赖和版本维护必须可信，任意网络绕过不在本原型的保证范围内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项目开源独立研究页面、规划器、接收端、冻结请求、原始记录及核验脚本，商业客户端不包含在内。默认演示无需模型密钥；公开记录可离线重算，重新调用模型需读者自己的凭据。论文中的数字由记录生成，开发失败、人审材料和既有业务适配器另附，未将尚未完成的人审当成质量证据。</w:t>
      </w:r>
    </w:p>
    <w:p>
      <w:pPr>
        <w:spacing w:after="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源码与操作说明：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5"/>
        </w:rPr>
        <w:t>https://github.com/Zane-0260907/stepwise-disclosure-demo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参考文献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[1] G. Yu 等. PlanTwin: Privacy-Preserving Planning Abstractions for Cloud-Assisted LLM Agents. arXiv:2603.18377,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[2] S. R. Seeam 等. PrivScope: Task-scoped Disclosure Control for Hybrid Agentic Systems. arXiv:2605.16630,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[3] H. Yu 等. MINIM: Privacy-Aware Minimal View for Agents via Trusted Local Sanitization. arXiv:2606.13949,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[4] J. Kawahara 等. Frontier-Based Search for Enumerating All Constrained Subgraphs with Compressed Representation. IEICE Trans. E100-A(9), 1773–1784, 2017.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[5] Z. Chen 等. FinQA: A Dataset of Numerical Reasoning over Financial Data. EMNLP, 3697–3711, 2021.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[6] P. Virtanen 等. SciPy 1.0: Fundamental Algorithms for Scientific Computing in Python. Nature Methods 17, 261–272, 2020. 整数规划使用 SciPy 1.15.3 的 HiGHS 接口.</w:t>
      </w:r>
    </w:p>
    <w:sectPr w:rsidR="00FC693F" w:rsidRPr="0006063C" w:rsidSect="00034616">
      <w:type w:val="continuous"/>
      <w:pgSz w:w="12240" w:h="15840"/>
      <w:pgMar w:top="1500" w:right="1080" w:bottom="1600" w:left="1080" w:header="432" w:footer="504" w:gutter="0"/>
      <w:cols w:space="48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nux Libertine" w:hAnsi="Linux Libertin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面向动态智能体任务的按步执行与信息共享</dc:title>
  <dc:subject/>
  <dc:creator>Yaojunzhe Zhai; Chao-Hsien Hsieh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