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  <w:jc w:val="center"/>
        <w:pBdr>
          <w:bottom w:val="nil"/>
        </w:pBdr>
      </w:pPr>
      <w:r>
        <w:rPr>
          <w:rFonts w:ascii="Linux Libertine" w:hAnsi="Linux Libertine" w:eastAsia="SimHei"/>
          <w:b/>
          <w:i w:val="0"/>
          <w:color w:val="000000"/>
          <w:sz w:val="28"/>
        </w:rPr>
        <w:t>面向动态智能体任务的按步执行与信息共享</w:t>
      </w:r>
    </w:p>
    <w:p>
      <w:pPr>
        <w:spacing w:after="40"/>
        <w:jc w:val="center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Yaojunzhe Zhai¹  ·  Chao-Hsien Hsieh²</w:t>
      </w:r>
    </w:p>
    <w:p>
      <w:pPr>
        <w:spacing w:after="80"/>
        <w:jc w:val="center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¹ Monash University Malaysia   ² Xi’an International University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摘要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7"/>
        </w:rPr>
        <w:t>智能体的后续步骤可能改变执行位置与输入需求；请求准备完成后，源值、授权和可用能力仍可能变化。逐步裁剪难以兼顾跨步骤的累计披露，完整重跑则重复已完成的工作。本文演示一个按步执行系统：依据接收方已见信息规划当前已知的后续步骤，在发送前核验规划依赖，并保留仍有效的纯计算结果。独立接收进程记录实际载荷，界面将状态变化、失效请求与修复结果逐项对应。288 个受控场景的六方法比较中，局部修复比完整重跑减少 12.5% 的外部执行；后续规划比逐步贪心少披露 2.9% 的不同信息项，但重复传输字段增加 54.5%。另保留真实模型调用验证本地计算路径。演示使这些收益、代价和适用边界均可检查。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关键词：智能体执行；接收方视图；累计披露；局部修复；系统演示。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1  问题与系统目标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以合同计费任务为例：一个步骤计算金额，另一个步骤检查限额。外部服务可以接收原始数值，也可以接收本地计算的金额。只看当前步骤，发送一个派生值似乎更省；考虑后续步骤，向同一接收方复用已披露的输入可能更合适。若限额在发送前改变，旧请求应当失效，但不依赖限额的已完成计算仍可保留。</w:t>
      </w: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99632" cy="3099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099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图 1  按步执行的系统结构。原始资料保留在本地；模型与工具通过登记出口交互。新步骤或状态变化触发重新判定，外部结果写回本地状态。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这涉及三个相互关联的数据管理问题：计算放在哪里、每个接收方累计获知什么、状态变化后哪些结果仍有效。图 1 展示执行边界；本文在这一结构上实现可追溯的后续规划与局部修复。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PlanTwin [1] 研究本地规划抽象，ToolMinimize [2] 与 MINIM [3] 约束工具调用和观察视图；ATR [4] 已研究决策依赖与选择性重验证。FreshCtx [5] 提供可嵌入的上下文时效检查。因此，数据裁剪、依赖失效和程序辅助计算 [6] 本身不能作为本文的新颖性主张。</w:t>
      </w:r>
    </w:p>
    <w:p>
      <w:pPr>
        <w:spacing w:after="0" w:before="0" w:line="20" w:lineRule="exact"/>
      </w:pPr>
      <w:r>
        <w:br w:type="column"/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本文关注其交汇处：在信息已经发送、无法撤回的条件下，结合各接收方的披露历史，为当前已知步骤选择等价输入方案，并在变化后重建剩余执行。我们给出有限候选下的精确选择、包含未选候选的依赖核验，以及结果复用和真实接收记录的一体化实现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演示不是将“裁剪越多越好”作为结论。观众可改变限额、撤销接收方授权或添加步骤，比较完整重跑、逐步贪心和后续规划，看到不同信息项减少时传输量仍可能上升。该取舍由可复算记录支持，而非仅由界面呈现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  面向接收方的后续执行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2.1  执行候选与披露历史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版本化状态 S 保存源事实、授权和本地能力。对登记操作 o，候选 a 指定接收方 r、输入视图 V 及其依赖。视图可以包含原值或本地派生值；登记算子须保证不同输入形式产生相同任务结果。模型不能任意增加字段或执行生成脚本。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一次披露按接收方、字段及其值与来源版本的指纹计数。令 E(a) 为候选披露项集合，H 为此前发送的集合；本地执行的 E(a) 为空。准备发送时保守地更新历史：</w:t>
      </w:r>
    </w:p>
    <w:p>
      <w:pPr>
        <w:spacing w:before="60" w:after="60"/>
        <w:jc w:val="center"/>
      </w:pPr>
      <m:oMathPara>
        <m:oMath>
          <m:sSub>
            <m:e>
              <m:r>
                <m:t>H</m:t>
              </m:r>
            </m:e>
            <m:sub>
              <m:r>
                <m:t>t+1</m:t>
              </m:r>
            </m:sub>
          </m:sSub>
          <m:r>
            <m:t>=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t>∪E(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t>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(1)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同一字段发送给不同接收方分别计数；派生值也计数。源版本变化后再次发送计为新项。H 不随重试或局部修复回退。该指标描述显式披露，不度量敏感性，也不排除接收方通过多个值联合推断。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2.2  比较当前已知的后续方案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设 Q 为已知待执行步骤，P(Q,S) 为满足当前授权与能力的候选组合。方案 p 的新增披露及外部执行量 W(p) 定义为：</w:t>
      </w:r>
    </w:p>
    <w:p>
      <w:pPr>
        <w:spacing w:before="60" w:after="60"/>
        <w:jc w:val="center"/>
      </w:pPr>
      <m:oMathPara>
        <m:oMath>
          <m:r>
            <m:t>D(p)=(</m:t>
          </m:r>
          <m:nary>
            <m:naryPr>
              <m:chr m:val="⋃"/>
              <m:limLoc m:val="undOvr"/>
              <m:grow m:val="1"/>
              <m:subHide m:val="off"/>
              <m:supHide m:val="on"/>
            </m:naryPr>
            <m:sub>
              <m:r>
                <m:t>a∈p</m:t>
              </m:r>
            </m:sub>
            <m:sup/>
            <m:e>
              <m:r>
                <m:t>E(a))∖H</m:t>
              </m:r>
            </m:e>
          </m:nary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(2)</w:t>
      </w:r>
    </w:p>
    <w:p>
      <w:pPr>
        <w:spacing w:before="60" w:after="60"/>
        <w:jc w:val="center"/>
      </w:pPr>
      <m:oMathPara>
        <m:oMath>
          <m:sSup>
            <m:e>
              <m:r>
                <m:t>p</m:t>
              </m:r>
            </m:e>
            <m:sup>
              <m:r>
                <m:t>*</m:t>
              </m:r>
            </m:sup>
          </m:sSup>
          <m:r>
            <m:t>=</m:t>
          </m:r>
          <m:limLow>
            <m:e>
              <m:r>
                <m:rPr>
                  <m:nor/>
                </m:rPr>
                <m:t>arg min lex</m:t>
              </m:r>
            </m:e>
            <m:lim>
              <m:r>
                <m:t>p∈P(Q,S)</m:t>
              </m:r>
            </m:lim>
          </m:limLow>
          <m:r>
            <m:t>(|D(p)|,W(p))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(3)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式（3）先减少不同披露项，再以外部执行量打破平局。搜索逐步扩展标签 (E,w)，其中 E 包含历史与当前前缀的披露，w 为前缀外部执行数。同一深度满足下式时，可删除第二个标签：</w:t>
      </w:r>
    </w:p>
    <w:p>
      <w:pPr>
        <w:spacing w:before="60" w:after="60"/>
        <w:jc w:val="center"/>
      </w:pPr>
      <m:oMathPara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t>⊆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t>∧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t>≤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(4)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当候选输出等价、后续可行性不依赖所选表示时，为两标签追加同一后缀保持上述关系，因此剪枝不丢失式（3）的最优解。最坏标签数仍为指数级；实现超过 4,096 个标签即明确失败。这里不声称新的通用动态规划，也不声称对尚未发现的步骤全局最优。</w:t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一个逐步选择失效的例子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设两个步骤均可向服务甲发送同一对原值 {x,y}；另一条路径向服务乙分别发送一个派生值 {u} 与两个不同派生值 {v,w}。逐步贪心先选乙，只披露一项；第二步无论选哪条路径，累计都至少为三项。后续规划连续选择甲，累计只有两项，但会传输四个字段。该例说明为什么披露集合与传输次数须分别衡量。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这一比较只在等价实现之间成立。若某个服务无法完成步骤，即使披露更少也不能选择；如果派生方式改变后续语义，则不能使用上述剪枝保证。登记与授权先限定可行方案，式（3）只在其中进行选择。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8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2.3  核验决策，而不只核验请求字段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请求未改变，不代表原决定仍合适。例如，本地能力变为可用时，旧外发载荷可以逐字相同。系统因此记录所有候选的源值与能力、授权、端点读取，包括未选候选；派生字段展开为传递依赖。</w:t>
      </w:r>
    </w:p>
    <w:p>
      <w:pPr>
        <w:spacing w:before="60" w:after="60"/>
        <w:jc w:val="center"/>
      </w:pPr>
      <m:oMathPara>
        <m:oMath>
          <m:r>
            <m:t>Δ=</m:t>
          </m:r>
          <m:sSub>
            <m:e>
              <m:r>
                <m:t>Δ</m:t>
              </m:r>
            </m:e>
            <m:sub>
              <m:r>
                <m:rPr>
                  <m:nor/>
                </m:rPr>
                <m:t>值</m:t>
              </m:r>
            </m:sub>
          </m:sSub>
          <m:r>
            <m:t>∪</m:t>
          </m:r>
          <m:sSub>
            <m:e>
              <m:r>
                <m:t>Δ</m:t>
              </m:r>
            </m:e>
            <m:sub>
              <m:r>
                <m:rPr>
                  <m:nor/>
                </m:rPr>
                <m:t>规划</m:t>
              </m:r>
            </m:sub>
          </m:sSub>
          <m:r>
            <m:t>,</m:t>
          </m:r>
          <m:r>
            <m:t>∀k∈Δ:v(k)=</m:t>
          </m:r>
          <m:sSub>
            <m:e>
              <m:r>
                <m:t>v</m:t>
              </m:r>
            </m:e>
            <m:sub>
              <m:r>
                <m:rPr>
                  <m:nor/>
                </m:rPr>
                <m:t>当前</m:t>
              </m:r>
            </m:sub>
          </m:sSub>
          <m:r>
            <m:t>(k)</m:t>
          </m:r>
        </m:oMath>
      </m:oMathPara>
      <w:r>
        <w:rPr>
          <w:rFonts w:ascii="Linux Libertine" w:hAnsi="Linux Libertine" w:eastAsia="SimSun"/>
          <w:b w:val="0"/>
          <w:i w:val="0"/>
          <w:color w:val="000000"/>
          <w:sz w:val="16"/>
        </w:rPr>
        <w:t xml:space="preserve">  (5)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凭据将这些版本、接收方与最终序列化请求绑定。任一依赖变化即放弃未发送请求，重新规划；没有使用的源字段变化不触发失效。单调版本号能发现值变化后又恢复的情况。版本核验是保守条件，失效不一定意味着旧请求会产生错误答案。</w:t>
      </w:r>
    </w:p>
    <w:p>
      <w:pPr>
        <w:keepNext/>
        <w:spacing w:before="120" w:after="40"/>
        <w:pBdr>
          <w:top w:val="single" w:sz="6"/>
        </w:pBdr>
      </w:pPr>
      <w:r>
        <w:rPr>
          <w:rFonts w:ascii="Linux Libertine" w:hAnsi="Linux Libertine" w:eastAsia="SimHei"/>
          <w:b/>
          <w:i w:val="0"/>
          <w:color w:val="000000"/>
          <w:sz w:val="18"/>
        </w:rPr>
        <w:t>算法 1  面向接收方的后续规划与局部修复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/>
          <w:i w:val="0"/>
          <w:color w:val="000000"/>
          <w:sz w:val="16"/>
        </w:rPr>
        <w:t>Input: versioned state S, pending steps Q, registry R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/>
          <w:i w:val="0"/>
          <w:color w:val="000000"/>
          <w:sz w:val="16"/>
        </w:rPr>
        <w:t>Output: checked results C and disclosure history H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1:  C ← ∅; H ← ∅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2:  while Q is not empty do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3:      A, Δ ← EnumerateAlternatives(S, Q, R)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4:      p ← FrontierPlan(A, H)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5:      if p is infeasible then return BLOCKED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6:      a ← First(p); B ← Serialize(a)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7:      T ← Bind(a, Versions(S, Δ), Hash(B))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8:      if not Current(T, S) then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9:          C ← KeepValidPureResults(C, S)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10:         Q ← PendingFromCurrentState(C, S)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11:         continue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12:     if a.recipient = local then y ← Evaluate(a)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13:     else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14:         RequireUnchanged(T, B)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15:         H ← H ∪ DisclosureTokens(a)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16:         y, receipt ← SendOnce(B)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17:         VerifyReceipt(receipt, B)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18:     C ← SavePureResult(C, y, ValueDeps(a))</w:t>
      </w:r>
    </w:p>
    <w:p>
      <w:pPr>
        <w:keepNext/>
        <w:spacing w:after="0" w:line="245" w:lineRule="auto"/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19:     Q ← RemoveCompletedAndAppendNew(Q, y)</w:t>
      </w:r>
    </w:p>
    <w:p>
      <w:pPr>
        <w:keepNext w:val="0"/>
        <w:spacing w:after="0" w:line="245" w:lineRule="auto"/>
        <w:pBdr>
          <w:bottom w:val="single" w:sz="6"/>
        </w:pBdr>
      </w:pPr>
      <w:r>
        <w:rPr>
          <w:rFonts w:ascii="Linux Libertine" w:hAnsi="Linux Libertine" w:eastAsia="SimSun"/>
          <w:b w:val="0"/>
          <w:i w:val="0"/>
          <w:color w:val="000000"/>
          <w:sz w:val="16"/>
        </w:rPr>
        <w:t>20: return C, H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结果缓存只适用于无副作用的登记计算，按值依赖决定是否保留；授权变化不能撤回此前披露，但会限制后续发送。没有可行候选时停止。未知副作用和不确定的网络失败不自动重试，控制器与登记出口须可信。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接收进程保存原始请求字节、摘要和运行标识，以核对“准备发送”与“实际收到”。该记录不构成远端平台认证，也不提供分布式原子提交保证。FreshCtx 可替换版本检查部分，后续规划与结果复用仍由本系统负责。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实现区分两类依赖：规划依赖决定是否要重新选择执行方式，值依赖决定既有结果能否复用。例如，限额变化使待执行的限额检查失效，但先前金额计算只读取基数、比例和天数，其结果仍有效。系统重新核验后保留该结果，不把“所有旧工作都作废”作为默认恢复方式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3628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-u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62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图 2  限额变化案例的实际执行截图。① 已完成金额计算后，限额改变；② 旧请求失效，系统保留不依赖限额的结果；③ 右侧展示重新规划后的接收方与实际输入。截图裁去导航并添加编号，使用独立开发样例，不计入冻结测试。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3  交互演示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界面沿用客户端的双栏任务布局。左侧执行自动推进，右侧随选中步骤展示接收方、发送内容、保留字段与接收记录。观众可暂停跟随检查旧请求，再回到当前步骤；无需逐步点击才能完成任务。展示节奏单独放慢，不计入实验耗时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第一组演示从计费与限额案例开始。观众先运行后续规划，再切换完整重跑，比较相同输入下哪些计算被重复执行。第二个案例撤销本地能力，观察工作转至可用的外部算子；第三个撤销某个接收方授权，观察未发送请求失效和改路。第四个在运行中注入新的登记步骤，显示规划只使用当时已知的信息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这些控制场景使用独立进程执行真实 HTTP 算子，不调用语言模型。它们隔离状态变化与修复行为，不用于证明模型自主发现步骤。真实模型路径另提供保存的 DeepSeek 调用：缺少事实时申请补充、调用资料查询，以及根据表结构提出本地表达式。重放原始调用与读者自带密钥的现场调用明确区分。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界面和执行器作为独立研究实现公开，不包含商业客户端。每轮可下载原始接收记录与完整轨迹。无密钥即可运行控制案例、核对冻结数据或重放已有模型调用；双语界面展示相同执行状态。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4  实验设计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控制实验在运行前冻结源码、场景与评价规则。四种步骤顺序各取六组数值，交叉十二类变化，共 288 个场景、六种方法与 1,728 次执行。变化涵盖无变化、未用字段、源值、限额、本地能力增减、接收方撤权或替换、全部撤权、版本往返、新步骤和步骤间变化。参数变体不是独立真实业务样本。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六种方法为：仅检查载荷直接字段的消融、完整重跑、局部修复与逐步贪心、局部修复与后续规划，以及 FreshCtx 分别搭配完整重跑和后续规划。除消融外，方法获得相同的完整依赖。FreshCtx 固定为 0.16.0，实际调用其观察—推理—执行检查；重跑策略由本实验提供，不是该库的固有限制。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评价区分结果正确、版本契约符合和授权有效。每种方法有 264 个可完成场景及 24 个必须阻止的全部撤权场景；正确阻止计为契约符合，不计为完成任务。独立脚本重建状态、重算算子并核对全部 3,684 条 HTTP 接收记录，同时统计不同披露项、重复传输字段、外部执行和结果复用。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另保留基于 FinQA [7] 的独立模型实验：60 页来自 57 份公司年报，五种方法各重复两次，共 600 次任务、1,210 次真实 DeepSeek 调用。表结构对照已修正，开发用公司年报被排除。该数据评价模型提出本地计算的有效性，不与控制实验合并，也不作为局部修复算法的效果证据。</w:t>
      </w:r>
    </w:p>
    <w:p>
      <w:pPr>
        <w:sectPr>
          <w:type w:val="continuous"/>
          <w:pgSz w:w="12240" w:h="15840"/>
          <w:pgMar w:top="1500" w:right="1080" w:bottom="1600" w:left="1080" w:header="432" w:footer="504" w:gutter="0"/>
          <w:cols w:space="480" w:num="2"/>
          <w:docGrid w:linePitch="360"/>
        </w:sectPr>
      </w:pPr>
    </w:p>
    <w:p>
      <w:pPr>
        <w:keepNext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199632" cy="34983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offs.zh-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9632" cy="3498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60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图 3  a–e：288 个受控场景的六方法比较，F 表示 FreshCtx；契约符合包含正确阻止。d：完整重跑与后续规划的逐场景执行次数差；e：不同披露项与重复传输量的取舍。f：独立保存的真实模型数值实验，不能与 a–e 合并解释。</w:t>
      </w:r>
    </w:p>
    <w:p>
      <w:pPr>
        <w:sectPr>
          <w:pgSz w:w="12240" w:h="15840"/>
          <w:pgMar w:top="1500" w:right="1080" w:bottom="1600" w:left="1080" w:header="432" w:footer="504" w:gutter="0"/>
          <w:cols w:space="480" w:num="1"/>
          <w:docGrid w:linePitch="360"/>
        </w:sectPr>
      </w:pP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5  结果与讨论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完整依赖方法均在 264 个可行场景中给出正确结果，并阻止全部 24 个撤权场景。仅查载荷的消融符合 108/288 个场景，出现 180 次过期执行，其中有 48 次未获授权。过期还包括版本往返或安全的能力变化，不能全部称为数据泄露。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后续规划的外部执行为 588 次，完整重跑为 672 次，减少 12.5%；84 个场景各少一次，204 个不变。局部修复累计复用 180 个仍有效结果。与逐步贪心相比，不同披露项从 834 降为 810，减少 2.9%；但传输字段从 1,002 增为 1,548，增加 54.5%。这是集合目标偏向重复利用已有信息的代价，不能据此声称通信更少。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FreshCtx 两个组合分别复现相应的重跑与后续规划结果，共执行 576 次外部时效检查。这说明检查层可以复用，新增行为来自披露历史、规划目标与修复策略；不能解读为本系统在时效检查上优于 FreshCtx。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独立模型实验中，全量数值通过 96/120 次，本地计算为 98/120。后者不发送业务数值，但仍公开问题、结构、年份和单位。按年报聚类的通过率差区间为 [−5.83, 9.02] 个百分点，不能证明准确率优势或不劣；自由文本真人盲审仍待完成。</w:t>
      </w:r>
    </w:p>
    <w:p>
      <w:pPr>
        <w:spacing w:after="0" w:before="0" w:line="20" w:lineRule="exact"/>
      </w:pPr>
      <w:r>
        <w:br w:type="column"/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6  适用范围与开放实现</w:t>
      </w:r>
    </w:p>
    <w:p>
      <w:pPr>
        <w:spacing w:after="4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本系统适用于已登记、可提供等价输入的操作。精确选择限于当前已知步骤，最坏搜索代价为指数级；自动识别语义充分视图、任意工具副作用及真实生产部署均未验证。披露项减少不等于隐私风险同比降低，接收方串通与控制器旁路也不在保证范围内。</w:t>
      </w:r>
    </w:p>
    <w:p>
      <w:pPr>
        <w:spacing w:after="20" w:line="246" w:lineRule="auto"/>
        <w:ind w:firstLine="23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8"/>
        </w:rPr>
        <w:t>仓库提供完整源码、双语界面、固定依赖、协议、原始请求及独立核验脚本；所有失败保留。模型调用与控制实验分别存档。演示的贡献在于将执行位置、累计披露和变化后的修复连成可操作、可核对的过程，使观众能检查选择依据及其代价。</w:t>
      </w:r>
    </w:p>
    <w:p>
      <w:pPr>
        <w:spacing w:after="40" w:line="246" w:lineRule="auto"/>
        <w:ind w:firstLine="0"/>
        <w:jc w:val="both"/>
      </w:pPr>
      <w:r>
        <w:rPr>
          <w:rFonts w:ascii="Linux Libertine" w:hAnsi="Linux Libertine" w:eastAsia="SimSun"/>
          <w:b w:val="0"/>
          <w:i w:val="0"/>
          <w:color w:val="000000"/>
          <w:sz w:val="15"/>
        </w:rPr>
        <w:t>代码与复现：https://github.com/Zane-0260907/stepwise-disclosure-demo</w:t>
      </w:r>
    </w:p>
    <w:p>
      <w:pPr>
        <w:keepNext/>
        <w:spacing w:before="120" w:after="40"/>
      </w:pPr>
      <w:r>
        <w:rPr>
          <w:rFonts w:ascii="Linux Libertine" w:hAnsi="Linux Libertine" w:eastAsia="SimHei"/>
          <w:b/>
          <w:i w:val="0"/>
          <w:color w:val="000000"/>
          <w:sz w:val="18"/>
        </w:rPr>
        <w:t>参考文献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[1] G. Yu 等. PlanTwin: Privacy-Preserving Planning Abstractions for Cloud-Assisted LLM Agents. arXiv:2603.18377,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[2] W. Li, Y. Xu. ToolMinimize: Auditing and Rewriting LLM Agent Tool Calls to Minimize Privacy Exposure. arXiv:2608.24957,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[3] H. Yu 等. MINIM: Privacy-Aware Minimal View for Agents via Trusted Local Sanitization. arXiv:2606.13949,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[4] Y. Lyu, Y. Ren, R. Lai, W. Liu. From Version Conflicts to Decision Conflicts: Selective Revalidation for Long-Running AI Agents. arXiv:2609.08015, 2026.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[5] Hyperwise. FreshCtx 0.16.0. github.com/Hyperwise-LLC/freshctx, 2026. Apache-2.0.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[6] L. Gao 等. PAL: Program-aided Language Models. ICML, 2023, 10764–10799.</w:t>
      </w:r>
    </w:p>
    <w:p>
      <w:pPr>
        <w:spacing w:after="20" w:line="246" w:lineRule="auto"/>
        <w:ind w:left="202" w:hanging="202"/>
        <w:jc w:val="left"/>
      </w:pPr>
      <w:r>
        <w:rPr>
          <w:rFonts w:ascii="Linux Libertine" w:hAnsi="Linux Libertine" w:eastAsia="SimSun"/>
          <w:b w:val="0"/>
          <w:i w:val="0"/>
          <w:color w:val="000000"/>
          <w:sz w:val="14"/>
        </w:rPr>
        <w:t>[7] Z. Chen 等. FinQA: A Dataset of Numerical Reasoning over Financial Data. EMNLP, 2021, 3697–3711.</w:t>
      </w:r>
    </w:p>
    <w:sectPr w:rsidR="00FC693F" w:rsidRPr="0006063C" w:rsidSect="00034616">
      <w:type w:val="continuous"/>
      <w:pgSz w:w="12240" w:h="15840"/>
      <w:pgMar w:top="1500" w:right="1080" w:bottom="1600" w:left="1080" w:header="432" w:footer="504" w:gutter="0"/>
      <w:cols w:space="48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inux Libertine" w:hAnsi="Linux Libertin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面向动态智能体任务的按步执行与信息共享</dc:title>
  <dc:subject>系统演示：接收方披露历史、后续规划与局部修复</dc:subject>
  <dc:creator>Yaojunzhe Zhai; Chao-Hsien Hsieh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