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 Dry Collection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listOfDryPages </w:t>
      </w:r>
      <w:r>
        <w:rPr>
          <w:rFonts w:ascii="Menlo" w:hAnsi="Menlo" w:cs="Menlo"/>
          <w:sz w:val="32"/>
          <w:sz-cs w:val="32"/>
          <w:spacing w:val="0"/>
          <w:color w:val="738A04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 [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"https://www.ulta.com/skin-care-cleansers?N=2794Z1z13p3o&amp;No=0&amp;Nrpp=96"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"https://www.ulta.com/skin-care-cleansers?N=2794Z1z13p3o&amp;No=96&amp;Nrpp=96"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"https://www.ulta.com/skin-care-cleansers?N=2794Z1z13p3o&amp;No=192&amp;Nrpp=96"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"https://www.ulta.com/skin-care-cleansers?N=2794Z1z13p3o&amp;No=288&amp;Nrpp=96"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"https://www.ulta.com/skin-care-cleansers?N=2794Z1z13p3o&amp;No=384&amp;Nrpp=96"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"https://www.ulta.com/skin-care-moisturizers?N=2796Z1z13p3o&amp;No=0&amp;Nrpp=96"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"https://www.ulta.com/skin-care-moisturizers?N=2796Z1z13p3o&amp;No=96&amp;Nrpp=96"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"https://www.ulta.com/skin-care-moisturizers?N=2796Z1z13p3o&amp;No=192&amp;Nrpp=96"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"https://www.ulta.com/skin-care-moisturizers?N=2796Z1z13p3o&amp;No=288&amp;Nrpp=96"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"https://www.ulta.com/skin-care-moisturizers?N=2796Z1z13p3o&amp;No=384&amp;Nrpp=96"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"https://www.ulta.com/skin-care-moisturizers?N=2796Z1z13p3o&amp;No=480&amp;Nrpp=96"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"https://www.ulta.com/skin-care-treatment-serums?N=27csZ1z13p3o&amp;No=0&amp;Nrpp=96"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"https://www.ulta.com/skin-care-treatment-serums?N=27csZ1z13p3o&amp;No=96&amp;Nrpp=96"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"https://www.ulta.com/skin-care-treatment-serums?N=27csZ1z13p3o&amp;No=192&amp;Nrpp=96"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"https://www.ulta.com/skin-care-treatment-serums?N=27csZ1z13p3o&amp;No=288&amp;Nrpp=96"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"https://www.ulta.com/skin-care-treatment-serums?N=27csZ1z13p3o&amp;No=384&amp;Nrpp=96"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"https://www.ulta.com/skin-care-treatment-serums?N=27csZ1z13p3o&amp;No=480&amp;Nrpp=96"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"https://www.ulta.com/skin-care-eye-treatments?N=270kZ1z13p3o&amp;No=0&amp;Nrpp=96"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"https://www.ulta.com/skin-care-eye-treatments?N=270kZ1z13p3o&amp;No=96&amp;Nrpp=96"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"https://www.ulta.com/skin-care-suncare?N=27feZ1z13p3o"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"https://www.ulta.com/korean-skin-care?N=27igZ1z13p3o&amp;No=0&amp;Nrpp=96"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"https://www.ulta.com/korean-skin-care?N=27igZ1z13p3o&amp;No=96&amp;Nrpp=96"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]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