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Editorial Change Log and Compliance Assessment</w:t>
      </w:r>
    </w:p>
    <w:p>
      <w:r>
        <w:t>This log records editorial changes to the submission package without altering the frozen screening, eligibility, linkage, or extraction record.</w:t>
      </w:r>
    </w:p>
    <w:p>
      <w:pPr>
        <w:pStyle w:val="Heading1"/>
      </w:pPr>
      <w:r>
        <w:t>Substantive edits</w:t>
      </w:r>
    </w:p>
    <w:p>
      <w:pPr>
        <w:pStyle w:val="ListBullet"/>
      </w:pPr>
      <w:r>
        <w:t>Polished the manuscript for concise academic English, consistent terminology, restrained claims, and clearer transitions.</w:t>
      </w:r>
    </w:p>
    <w:p>
      <w:pPr>
        <w:pStyle w:val="ListBullet"/>
      </w:pPr>
      <w:r>
        <w:t>Preserved the distinction among records, reports, and studies, including 32 included reports representing 31 studies.</w:t>
      </w:r>
    </w:p>
    <w:p>
      <w:pPr>
        <w:pStyle w:val="ListBullet"/>
      </w:pPr>
      <w:r>
        <w:t>Replaced “latest” with “recent” when discussing the comparator review and retained the explicit statement that the reviews are complementary rather than claiming priority.</w:t>
      </w:r>
    </w:p>
    <w:p>
      <w:pPr>
        <w:pStyle w:val="Heading1"/>
      </w:pPr>
      <w:r>
        <w:t>Methodological clarifications</w:t>
      </w:r>
    </w:p>
    <w:p>
      <w:pPr>
        <w:pStyle w:val="ListBullet"/>
      </w:pPr>
      <w:r>
        <w:t>Preserved all frozen PRISMA totals and the full-text exclusion total of 139.</w:t>
      </w:r>
    </w:p>
    <w:p>
      <w:pPr>
        <w:pStyle w:val="ListBullet"/>
      </w:pPr>
      <w:r>
        <w:t>Retained the age-neutral PCC amendment dated 21 August 2026 and the confirmation that no other protocol deviations occurred.</w:t>
      </w:r>
    </w:p>
    <w:p>
      <w:pPr>
        <w:pStyle w:val="ListBullet"/>
      </w:pPr>
      <w:r>
        <w:t>Retained the absence of formal critical appraisal, the nine unretrieved reports, unrecorded Web of Science constituent indexes, and lack of documented formal search-strategy peer review.</w:t>
      </w:r>
    </w:p>
    <w:p>
      <w:pPr>
        <w:pStyle w:val="ListBullet"/>
      </w:pPr>
      <w:r>
        <w:t>Clarified that unretrieved reports were not full-text exclusions and preserved report-to-study linkage.</w:t>
      </w:r>
    </w:p>
    <w:p>
      <w:pPr>
        <w:pStyle w:val="Heading1"/>
      </w:pPr>
      <w:r>
        <w:t>Removed repetition</w:t>
      </w:r>
    </w:p>
    <w:p>
      <w:pPr>
        <w:pStyle w:val="ListBullet"/>
      </w:pPr>
      <w:r>
        <w:t>Condensed repeated qualification around incomplete included-report funding text.</w:t>
      </w:r>
    </w:p>
    <w:p>
      <w:pPr>
        <w:pStyle w:val="ListBullet"/>
      </w:pPr>
      <w:r>
        <w:t>Standardized references to the scoping review, supplementary materials, and the finalized audit package.</w:t>
      </w:r>
    </w:p>
    <w:p>
      <w:pPr>
        <w:pStyle w:val="Heading1"/>
      </w:pPr>
      <w:r>
        <w:t>Unresolved confirmations and unverified items</w:t>
      </w:r>
    </w:p>
    <w:p>
      <w:pPr>
        <w:pStyle w:val="ListBullet"/>
      </w:pPr>
      <w:r>
        <w:t>Registration status and any protocol link or identifier.</w:t>
      </w:r>
    </w:p>
    <w:p>
      <w:pPr>
        <w:pStyle w:val="ListBullet"/>
      </w:pPr>
      <w:r>
        <w:t>ORCIDs, CRediT roles, and all-author approval.</w:t>
      </w:r>
    </w:p>
    <w:p>
      <w:pPr>
        <w:pStyle w:val="ListBullet"/>
      </w:pPr>
      <w:r>
        <w:t>Reference-management and screening software.</w:t>
      </w:r>
    </w:p>
    <w:p>
      <w:pPr>
        <w:pStyle w:val="ListBullet"/>
      </w:pPr>
      <w:r>
        <w:t>No unsupported degrees, affiliations, identifiers, study characteristics, results, citations, or declarations were added.</w:t>
      </w:r>
    </w:p>
    <w:p>
      <w:pPr>
        <w:pStyle w:val="Heading1"/>
      </w:pPr>
      <w:r>
        <w:t>Final compliance assessment</w:t>
      </w:r>
    </w:p>
    <w:p>
      <w:r>
        <w:t>Substantially complete</w:t>
      </w:r>
    </w:p>
    <w:p>
      <w:r>
        <w:t>The evidence synthesis, frozen review record, methods reporting, selection arithmetic, tables, figures, references, supplementary search strategies, declarations, and checklist mapping are substantially complete. The package is not ready for submission until the remaining author queries are resolved, particularly registration, CRediT contributions, and all-author approval.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