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Supplementary Materials for Artificial Intelligence Applications in Esophageal Dysphagia and Related Esophageal Disorders</w:t>
      </w:r>
    </w:p>
    <w:p>
      <w:r>
        <w:t>These supplementary materials accompany the scoping review prepared for Gastrointestinal Disorders. NR indicates not reported. The finalized master workbook is the authoritative source for row-level data.</w:t>
      </w:r>
    </w:p>
    <w:p>
      <w:pPr>
        <w:pStyle w:val="Heading1"/>
        <w:keepNext/>
      </w:pPr>
      <w:r>
        <w:t>S1. Complete Search Strategies</w:t>
      </w:r>
    </w:p>
    <w:p>
      <w:pPr>
        <w:pStyle w:val="Heading2"/>
        <w:keepNext/>
      </w:pPr>
      <w:r>
        <w:t>MEDLINE</w:t>
      </w:r>
    </w:p>
    <w:p>
      <w:r>
        <w:t>(("Deglutition Disorders"[Mesh] AND (esophag*[tiab] OR oesophag*[tiab])) OR ((dysphagi*[tiab]) AND (esophag*[tiab] OR oesophag*[tiab])) OR "Esophageal Achalasia"[Mesh] OR achalasia[tiab] OR "esophagogastric junction outflow obstruction"[tiab] OR EGJOO[tiab] OR "Esophageal Motility Disorders"[Mesh] OR "esophageal motility disorder*"[tiab] OR "oesophageal motility disorder*"[tiab] OR "ineffective esophageal motility"[tiab] OR "distal esophageal spasm"[tiab] OR "hypercontractile esophagus"[tiab] OR "jackhammer esophagus"[tiab] OR "absent contractility"[tiab] OR "Eosinophilic Esophagitis"[Mesh] OR "eosinophilic esophagitis"[tiab] OR "eosinophilic oesophagitis"[tiab]) AND ("Artificial Intelligence"[Mesh] OR "Machine Learning"[Mesh] OR "Deep Learning"[Mesh] OR "artificial intelligence"[tiab] OR "machine learning"[tiab] OR "deep learning"[tiab] OR "neural network*"[tiab] OR "convolutional neural network*"[tiab] OR transformer*[tiab] OR "computer aided diagnos*"[tiab] OR "computer-aided diagnos*"[tiab] OR "computer aided detect*"[tiab] OR "computer-aided detect*"[tiab] OR "automated classif*"[tiab] OR "support vector machine*"[tiab] OR "random forest*"[tiab] OR XGBoost[tiab] OR "gradient boost*"[tiab] OR "natural language processing"[tiab])</w:t>
      </w:r>
    </w:p>
    <w:p>
      <w:r>
        <w:rPr>
          <w:i/>
          <w:color w:val="464646"/>
          <w:sz w:val="17"/>
        </w:rPr>
        <w:t>Platform: PubMed; coverage: Database inception/all years through 2026-08-06; search date: 2026-08-06; retrieved: 334; searcher: Zane Salman (ZS); limits/filters: Database inception to search date; no language or age filter. Export PMID, DOI, title, abstract, publication type, and MeSH.; peer review: No documented formal peer review</w:t>
      </w:r>
    </w:p>
    <w:p>
      <w:pPr>
        <w:pStyle w:val="Heading2"/>
        <w:keepNext/>
      </w:pPr>
      <w:r>
        <w:t>Embase</w:t>
      </w:r>
    </w:p>
    <w:p>
      <w:r>
        <w:t>(('dysphagia'/exp AND (esophag*:ti,ab,kw OR oesophag*:ti,ab,kw)) OR 'achalasia'/exp OR achalasia:ti,ab,kw OR 'esophagogastric junction outflow obstruction':ti,ab,kw OR EGJOO:ti,ab,kw OR 'esophageal motility disorder':ti,ab,kw OR 'oesophageal motility disorder':ti,ab,kw OR 'ineffective esophageal motility':ti,ab,kw OR 'distal esophageal spasm':ti,ab,kw OR 'hypercontractile esophagus':ti,ab,kw OR 'jackhammer esophagus':ti,ab,kw OR 'absent contractility':ti,ab,kw OR 'eosinophilic esophagitis'/exp OR 'eosinophilic esophagitis':ti,ab,kw OR 'eosinophilic oesophagitis':ti,ab,kw) AND ('artificial intelligence'/exp OR 'machine learning'/exp OR 'deep learning'/exp OR 'artificial intelligence':ti,ab,kw OR 'machine learning':ti,ab,kw OR 'deep learning':ti,ab,kw OR 'neural network*':ti,ab,kw OR 'convolutional neural network*':ti,ab,kw OR transformer*:ti,ab,kw OR 'computer aided diagnos*':ti,ab,kw OR 'computer-aided diagnos*':ti,ab,kw OR 'computer aided detect*':ti,ab,kw OR 'computer-aided detect*':ti,ab,kw OR 'automated classif*':ti,ab,kw OR 'support vector machine*':ti,ab,kw OR 'random forest*':ti,ab,kw OR xgboost:ti,ab,kw OR 'gradient boost*':ti,ab,kw OR 'natural language processing':ti,ab,kw)</w:t>
      </w:r>
    </w:p>
    <w:p>
      <w:r>
        <w:rPr>
          <w:i/>
          <w:color w:val="464646"/>
          <w:sz w:val="17"/>
        </w:rPr>
        <w:t>Platform: Embase.com; coverage: Database inception/all years through 2026-08-06; search date: 2026-08-06; retrieved: 365; searcher: Zane Salman (ZS); limits/filters: Database inception to search date; no language or age filter. Retain conference abstracts when mapping early evidence.; peer review: No documented formal peer review</w:t>
      </w:r>
    </w:p>
    <w:p>
      <w:pPr>
        <w:pStyle w:val="Heading2"/>
        <w:keepNext/>
      </w:pPr>
      <w:r>
        <w:t>Scopus</w:t>
      </w:r>
    </w:p>
    <w:p>
      <w:r>
        <w:t>TITLE-ABS-KEY((dysphagi* AND (esophag* OR oesophag*)) OR achalasia OR "esophagogastric junction outflow obstruction" OR EGJOO OR "esophageal motility disorder*" OR "oesophageal motility disorder*" OR "ineffective esophageal motility" OR "distal esophageal spasm" OR "hypercontractile esophagus" OR "jackhammer esophagus" OR "absent contractility" OR "eosinophilic esophagitis" OR "eosinophilic oesophagitis") AND TITLE-ABS-KEY("artificial intelligence" OR "machine learning" OR "deep learning" OR "neural network*" OR "convolutional neural network*" OR transformer* OR "computer aided diagnos*" OR "computer-aided diagnos*" OR "computer aided detect*" OR "computer-aided detect*" OR "automated classif*" OR "support vector machine*" OR "random forest*" OR XGBoost OR "gradient boost*" OR "natural language processing")</w:t>
      </w:r>
    </w:p>
    <w:p>
      <w:r>
        <w:rPr>
          <w:i/>
          <w:color w:val="464646"/>
          <w:sz w:val="17"/>
        </w:rPr>
        <w:t>Platform: Elsevier Scopus; coverage: Database inception/all years through 2026-08-06; search date: 2026-08-06; retrieved: 378; searcher: Zane Salman (ZS); limits/filters: All years; document types initially unrestricted. Export DOI and abstract for deduplication.; peer review: No documented formal peer review</w:t>
      </w:r>
    </w:p>
    <w:p>
      <w:pPr>
        <w:pStyle w:val="Heading2"/>
        <w:keepNext/>
      </w:pPr>
      <w:r>
        <w:t>Web of Science Core Collection</w:t>
      </w:r>
    </w:p>
    <w:p>
      <w:r>
        <w:t>TS=((dysphagi* AND (esophag* OR oesophag*)) OR achalasia OR "esophagogastric junction outflow obstruction" OR EGJOO OR "esophageal motility disorder*" OR "oesophageal motility disorder*" OR "ineffective esophageal motility" OR "distal esophageal spasm" OR "hypercontractile esophagus" OR "jackhammer esophagus" OR "absent contractility" OR "eosinophilic esophagitis" OR "eosinophilic oesophagitis") AND TS=("artificial intelligence" OR "machine learning" OR "deep learning" OR "neural network*" OR "convolutional neural network*" OR transformer* OR "computer aided diagnos*" OR "computer-aided diagnos*" OR "computer aided detect*" OR "computer-aided detect*" OR "automated classif*" OR "support vector machine*" OR "random forest*" OR XGBoost OR "gradient boost*" OR "natural language processing")</w:t>
      </w:r>
    </w:p>
    <w:p>
      <w:r>
        <w:rPr>
          <w:i/>
          <w:color w:val="464646"/>
          <w:sz w:val="17"/>
        </w:rPr>
        <w:t>Platform: Clarivate; coverage: All years; exact indexes NR; search date: 2026-08-06; retrieved: 175; searcher: Zane Salman (ZS); limits/filters: All years; constituent indexes were not recorded; peer review: No documented formal peer review</w:t>
      </w:r>
    </w:p>
    <w:p>
      <w:pPr>
        <w:pStyle w:val="Heading2"/>
        <w:keepNext/>
      </w:pPr>
      <w:r>
        <w:t>IEEE Xplore</w:t>
      </w:r>
    </w:p>
    <w:p>
      <w:r>
        <w:t>(("All Metadata":dysphagia AND ("All Metadata":esophageal OR "All Metadata":oesophageal)) OR "All Metadata":achalasia OR "All Metadata":"esophagogastric junction outflow obstruction" OR "All Metadata":EGJOO OR "All Metadata":"esophageal motility disorder" OR "All Metadata":"eosinophilic esophagitis") AND ("All Metadata":"artificial intelligence" OR "All Metadata":"machine learning" OR "All Metadata":"deep learning" OR "All Metadata":"neural network" OR "All Metadata":transformer OR "All Metadata":"computer aided diagnosis" OR "All Metadata":"support vector machine" OR "All Metadata":"random forest" OR "All Metadata":XGBoost)</w:t>
      </w:r>
    </w:p>
    <w:p>
      <w:r>
        <w:rPr>
          <w:i/>
          <w:color w:val="464646"/>
          <w:sz w:val="17"/>
        </w:rPr>
        <w:t>Platform: IEEE; coverage: Database inception/all years through 2026-08-06; search date: 2026-08-06; retrieved: 25; searcher: Zane Salman (ZS); limits/filters: All years. Useful for engineering/conference literature that may not be indexed in biomedical databases.; peer review: No documented formal peer review</w:t>
      </w:r>
    </w:p>
    <w:p>
      <w:pPr>
        <w:pStyle w:val="Heading2"/>
        <w:keepNext/>
      </w:pPr>
      <w:r>
        <w:t>ClinicalTrials.gov</w:t>
      </w:r>
    </w:p>
    <w:p>
      <w:r>
        <w:t>("esophageal dysphagia" OR achalasia OR "eosinophilic esophagitis" OR "esophageal motility disorder") AND ("artificial intelligence" OR "machine learning" OR "deep learning" OR "neural network")</w:t>
      </w:r>
    </w:p>
    <w:p>
      <w:r>
        <w:rPr>
          <w:i/>
          <w:color w:val="464646"/>
          <w:sz w:val="17"/>
        </w:rPr>
        <w:t>Platform: ClinicalTrials.gov; coverage: Database inception/all years through 2026-08-06; search date: 2026-08-06; retrieved: 1387; searcher: Zane Salman (ZS); limits/filters: Supplementary registry search for ongoing/completed translational evaluations; registry records should be tracked separately from publications.; peer review: No documented formal peer review</w:t>
      </w:r>
    </w:p>
    <w:p>
      <w:pPr>
        <w:pStyle w:val="Heading1"/>
        <w:keepNext/>
      </w:pPr>
      <w:r>
        <w:t>S2. Full-Text Exclusion Register</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1152"/>
            <w:shd w:fill="D9EAF7"/>
            <w:tcBorders>
              <w:top w:val="single" w:sz="4" w:color="D9D9D9"/>
              <w:left w:val="single" w:sz="4" w:color="D9D9D9"/>
              <w:bottom w:val="single" w:sz="4" w:color="D9D9D9"/>
              <w:right w:val="single" w:sz="4" w:color="D9D9D9"/>
            </w:tcBorders>
            <w:vAlign w:val="center"/>
          </w:tcPr>
          <w:p>
            <w:r>
              <w:rPr>
                <w:b/>
                <w:color w:val="FFFFFF"/>
                <w:sz w:val="14"/>
              </w:rPr>
              <w:t>Record_ID</w:t>
            </w:r>
          </w:p>
        </w:tc>
        <w:tc>
          <w:tcPr>
            <w:tcW w:type="dxa" w:w="4896"/>
            <w:shd w:fill="D9EAF7"/>
            <w:tcBorders>
              <w:top w:val="single" w:sz="4" w:color="D9D9D9"/>
              <w:left w:val="single" w:sz="4" w:color="D9D9D9"/>
              <w:bottom w:val="single" w:sz="4" w:color="D9D9D9"/>
              <w:right w:val="single" w:sz="4" w:color="D9D9D9"/>
            </w:tcBorders>
            <w:vAlign w:val="center"/>
          </w:tcPr>
          <w:p>
            <w:r>
              <w:rPr>
                <w:b/>
                <w:color w:val="FFFFFF"/>
                <w:sz w:val="14"/>
              </w:rPr>
              <w:t>Citation or title</w:t>
            </w:r>
          </w:p>
        </w:tc>
        <w:tc>
          <w:tcPr>
            <w:tcW w:type="dxa" w:w="1008"/>
            <w:shd w:fill="D9EAF7"/>
            <w:tcBorders>
              <w:top w:val="single" w:sz="4" w:color="D9D9D9"/>
              <w:left w:val="single" w:sz="4" w:color="D9D9D9"/>
              <w:bottom w:val="single" w:sz="4" w:color="D9D9D9"/>
              <w:right w:val="single" w:sz="4" w:color="D9D9D9"/>
            </w:tcBorders>
            <w:vAlign w:val="center"/>
          </w:tcPr>
          <w:p>
            <w:r>
              <w:rPr>
                <w:b/>
                <w:color w:val="FFFFFF"/>
                <w:sz w:val="14"/>
              </w:rPr>
              <w:t>Code</w:t>
            </w:r>
          </w:p>
        </w:tc>
        <w:tc>
          <w:tcPr>
            <w:tcW w:type="dxa" w:w="3168"/>
            <w:shd w:fill="D9EAF7"/>
            <w:tcBorders>
              <w:top w:val="single" w:sz="4" w:color="D9D9D9"/>
              <w:left w:val="single" w:sz="4" w:color="D9D9D9"/>
              <w:bottom w:val="single" w:sz="4" w:color="D9D9D9"/>
              <w:right w:val="single" w:sz="4" w:color="D9D9D9"/>
            </w:tcBorders>
            <w:vAlign w:val="center"/>
          </w:tcPr>
          <w:p>
            <w:r>
              <w:rPr>
                <w:b/>
                <w:color w:val="FFFFFF"/>
                <w:sz w:val="14"/>
              </w:rPr>
              <w:t>Primary reason</w:t>
            </w:r>
          </w:p>
        </w:tc>
      </w:tr>
      <w:tr>
        <w:tc>
          <w:tcPr>
            <w:tcW w:type="dxa" w:w="1152"/>
            <w:tcBorders>
              <w:top w:val="single" w:sz="4" w:color="D9D9D9"/>
              <w:left w:val="single" w:sz="4" w:color="D9D9D9"/>
              <w:bottom w:val="single" w:sz="4" w:color="D9D9D9"/>
              <w:right w:val="single" w:sz="4" w:color="D9D9D9"/>
            </w:tcBorders>
            <w:vAlign w:val="center"/>
          </w:tcPr>
          <w:p>
            <w:r>
              <w:rPr>
                <w:sz w:val="14"/>
              </w:rPr>
              <w:t>GI-0013</w:t>
            </w:r>
          </w:p>
        </w:tc>
        <w:tc>
          <w:tcPr>
            <w:tcW w:type="dxa" w:w="4896"/>
            <w:tcBorders>
              <w:top w:val="single" w:sz="4" w:color="D9D9D9"/>
              <w:left w:val="single" w:sz="4" w:color="D9D9D9"/>
              <w:bottom w:val="single" w:sz="4" w:color="D9D9D9"/>
              <w:right w:val="single" w:sz="4" w:color="D9D9D9"/>
            </w:tcBorders>
            <w:vAlign w:val="center"/>
          </w:tcPr>
          <w:p>
            <w:r>
              <w:rPr>
                <w:sz w:val="14"/>
              </w:rPr>
              <w:t>4D DOSE RECONSTRUCTION ON DEEP LEARNING BASED 4D SYNTHETIC CTS GENERATED FROM CONE-BEAM CTS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GI-0014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665 Histologic Layer-based Quantitative Artificial Intelligence Tool for a Mouse Model of Eosinophilic Esophagitis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Animal-only mouse model; no eligible human esophageal analysis.</w:t>
            </w:r>
          </w:p>
        </w:tc>
      </w:tr>
      <w:tr>
        <w:tc>
          <w:tcPr>
            <w:tcW w:type="dxa" w:w="1152"/>
            <w:tcBorders>
              <w:top w:val="single" w:sz="4" w:color="D9D9D9"/>
              <w:left w:val="single" w:sz="4" w:color="D9D9D9"/>
              <w:bottom w:val="single" w:sz="4" w:color="D9D9D9"/>
              <w:right w:val="single" w:sz="4" w:color="D9D9D9"/>
            </w:tcBorders>
            <w:vAlign w:val="center"/>
          </w:tcPr>
          <w:p>
            <w:r>
              <w:rPr>
                <w:sz w:val="14"/>
              </w:rPr>
              <w:t>GI-0038</w:t>
            </w:r>
          </w:p>
        </w:tc>
        <w:tc>
          <w:tcPr>
            <w:tcW w:type="dxa" w:w="4896"/>
            <w:tcBorders>
              <w:top w:val="single" w:sz="4" w:color="D9D9D9"/>
              <w:left w:val="single" w:sz="4" w:color="D9D9D9"/>
              <w:bottom w:val="single" w:sz="4" w:color="D9D9D9"/>
              <w:right w:val="single" w:sz="4" w:color="D9D9D9"/>
            </w:tcBorders>
            <w:vAlign w:val="center"/>
          </w:tcPr>
          <w:p>
            <w:r>
              <w:rPr>
                <w:sz w:val="14"/>
              </w:rPr>
              <w:t>A novel computer based risk prediction model for vocal cord palsy before thyroidectomy.</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GI-0040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 pilot study on computer-vision based quantification of swallowing muscles morphology in non-dysphagic adults, non-dysphagic older adults and dysphagic individuals using ultrasonography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computer-vision analysis quantifies suprahyoid/oropharyngeal swallowing muscles by ultrasound and does not provide an eligible esophageal analysis.</w:t>
            </w:r>
          </w:p>
        </w:tc>
      </w:tr>
      <w:tr>
        <w:tc>
          <w:tcPr>
            <w:tcW w:type="dxa" w:w="1152"/>
            <w:tcBorders>
              <w:top w:val="single" w:sz="4" w:color="D9D9D9"/>
              <w:left w:val="single" w:sz="4" w:color="D9D9D9"/>
              <w:bottom w:val="single" w:sz="4" w:color="D9D9D9"/>
              <w:right w:val="single" w:sz="4" w:color="D9D9D9"/>
            </w:tcBorders>
            <w:vAlign w:val="center"/>
          </w:tcPr>
          <w:p>
            <w:r>
              <w:rPr>
                <w:sz w:val="14"/>
              </w:rPr>
              <w:t>GI-0041</w:t>
            </w:r>
          </w:p>
        </w:tc>
        <w:tc>
          <w:tcPr>
            <w:tcW w:type="dxa" w:w="4896"/>
            <w:tcBorders>
              <w:top w:val="single" w:sz="4" w:color="D9D9D9"/>
              <w:left w:val="single" w:sz="4" w:color="D9D9D9"/>
              <w:bottom w:val="single" w:sz="4" w:color="D9D9D9"/>
              <w:right w:val="single" w:sz="4" w:color="D9D9D9"/>
            </w:tcBorders>
            <w:vAlign w:val="center"/>
          </w:tcPr>
          <w:p>
            <w:r>
              <w:rPr>
                <w:sz w:val="14"/>
              </w:rPr>
              <w:t>A Preliminary Investigation of Whether HRCA Signals Can Differentiate Between Swallows from Healthy People and Swallows from People with Neurodegenerative Diseases.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GI-0047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 standard operating procedure drafted by an interdisciplinary team and Health in a Virtual Environment aids improved outcomes for patients undergoing peroral endoscopic myotomy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Artificial intelligence is used for remote peri-procedural monitoring and service outcomes after POEM, not an eligible esophageal diagnostic, classification, segmentation, phenotyping, or quantitative-assessment objective.</w:t>
            </w:r>
          </w:p>
        </w:tc>
      </w:tr>
      <w:tr>
        <w:tc>
          <w:tcPr>
            <w:tcW w:type="dxa" w:w="1152"/>
            <w:tcBorders>
              <w:top w:val="single" w:sz="4" w:color="D9D9D9"/>
              <w:left w:val="single" w:sz="4" w:color="D9D9D9"/>
              <w:bottom w:val="single" w:sz="4" w:color="D9D9D9"/>
              <w:right w:val="single" w:sz="4" w:color="D9D9D9"/>
            </w:tcBorders>
            <w:vAlign w:val="center"/>
          </w:tcPr>
          <w:p>
            <w:r>
              <w:rPr>
                <w:sz w:val="14"/>
              </w:rPr>
              <w:t>GI-0049</w:t>
            </w:r>
          </w:p>
        </w:tc>
        <w:tc>
          <w:tcPr>
            <w:tcW w:type="dxa" w:w="4896"/>
            <w:tcBorders>
              <w:top w:val="single" w:sz="4" w:color="D9D9D9"/>
              <w:left w:val="single" w:sz="4" w:color="D9D9D9"/>
              <w:bottom w:val="single" w:sz="4" w:color="D9D9D9"/>
              <w:right w:val="single" w:sz="4" w:color="D9D9D9"/>
            </w:tcBorders>
            <w:vAlign w:val="center"/>
          </w:tcPr>
          <w:p>
            <w:r>
              <w:rPr>
                <w:sz w:val="14"/>
              </w:rPr>
              <w:t>Ability to track hyoid bone movement during swallowing using vibratory signals from neck sensors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GI-0050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ACCURACY OF CHATGPT AND BARD IN PROVIDING PATIENT INFORMATION ON PER ORAL ENDOSCOPIC MYOTOMY: A COMPARATIVE STUDY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computational analysis in “ACCURACY OF CHATGPT AND BARD IN PROVIDING PATIENT INFORMATION ON PER ORAL ENDOSCOPIC MYOTOMY: A COMPARATIVE STUDY” is used for treatment selection, response, or surgical workflow, rather than an eligible current esophageal diagnostic or quantitative-assessment objective.</w:t>
            </w:r>
          </w:p>
        </w:tc>
      </w:tr>
      <w:tr>
        <w:tc>
          <w:tcPr>
            <w:tcW w:type="dxa" w:w="1152"/>
            <w:tcBorders>
              <w:top w:val="single" w:sz="4" w:color="D9D9D9"/>
              <w:left w:val="single" w:sz="4" w:color="D9D9D9"/>
              <w:bottom w:val="single" w:sz="4" w:color="D9D9D9"/>
              <w:right w:val="single" w:sz="4" w:color="D9D9D9"/>
            </w:tcBorders>
            <w:vAlign w:val="center"/>
          </w:tcPr>
          <w:p>
            <w:r>
              <w:rPr>
                <w:sz w:val="14"/>
              </w:rPr>
              <w:t>GI-0079</w:t>
            </w:r>
          </w:p>
        </w:tc>
        <w:tc>
          <w:tcPr>
            <w:tcW w:type="dxa" w:w="4896"/>
            <w:tcBorders>
              <w:top w:val="single" w:sz="4" w:color="D9D9D9"/>
              <w:left w:val="single" w:sz="4" w:color="D9D9D9"/>
              <w:bottom w:val="single" w:sz="4" w:color="D9D9D9"/>
              <w:right w:val="single" w:sz="4" w:color="D9D9D9"/>
            </w:tcBorders>
            <w:vAlign w:val="center"/>
          </w:tcPr>
          <w:p>
            <w:r>
              <w:rPr>
                <w:sz w:val="14"/>
              </w:rPr>
              <w:t>An artificial neural network model predicting pathologic nodal metastases in clinical stage I-II esophageal squamous cell carcinoma patients.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evaluates “An artificial neural network model predicting pathologic nodal metastases in clinical stage I-II esophageal squamous cell carcinoma patients.” but is confined to a population or biological domain outside eligible human esophageal dysfunction.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GI-0080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An economic evaluation of palliation of dysphagia in esophageal cancer: Analysis of the TROG 03.01/NCIC ES.2 phase III study in advanced esophageal cancer in patients treated with radiotherapy versus chemoradiotherapy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fails the concept criterion because it lacks an eligible AI/ML or comparable computational diagnostic or quantitative-assessment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GI-0083</w:t>
            </w:r>
          </w:p>
        </w:tc>
        <w:tc>
          <w:tcPr>
            <w:tcW w:type="dxa" w:w="4896"/>
            <w:tcBorders>
              <w:top w:val="single" w:sz="4" w:color="D9D9D9"/>
              <w:left w:val="single" w:sz="4" w:color="D9D9D9"/>
              <w:bottom w:val="single" w:sz="4" w:color="D9D9D9"/>
              <w:right w:val="single" w:sz="4" w:color="D9D9D9"/>
            </w:tcBorders>
            <w:vAlign w:val="center"/>
          </w:tcPr>
          <w:p>
            <w:r>
              <w:rPr>
                <w:sz w:val="14"/>
              </w:rPr>
              <w:t>Analysis of the potential molecular mechanisms of asthma and gastroesophageal reflux disease.</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GI-0086</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Application of artificial intelligence in eosinophilic esophagitis.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tcPr>
          <w:p>
            <w:r>
              <w:rPr>
                <w:sz w:val="14"/>
              </w:rPr>
              <w:t>GI-0087</w:t>
            </w:r>
          </w:p>
        </w:tc>
        <w:tc>
          <w:tcPr>
            <w:tcW w:type="dxa" w:w="4896"/>
            <w:tcBorders>
              <w:top w:val="single" w:sz="4" w:color="D9D9D9"/>
              <w:left w:val="single" w:sz="4" w:color="D9D9D9"/>
              <w:bottom w:val="single" w:sz="4" w:color="D9D9D9"/>
              <w:right w:val="single" w:sz="4" w:color="D9D9D9"/>
            </w:tcBorders>
            <w:vAlign w:val="center"/>
          </w:tcPr>
          <w:p>
            <w:r>
              <w:rPr>
                <w:sz w:val="14"/>
              </w:rPr>
              <w:t>Application of classification models to pharyngeal high-resolution manometry.</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analysis is confined to pharyngeal high-resolution manometry and does not provide an identifiable eligible esophageal analysis.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GI-0090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Application of deep learning technology for temporal analysis of videofluoroscopic swallowing studies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GI-0091</w:t>
            </w:r>
          </w:p>
        </w:tc>
        <w:tc>
          <w:tcPr>
            <w:tcW w:type="dxa" w:w="4896"/>
            <w:tcBorders>
              <w:top w:val="single" w:sz="4" w:color="D9D9D9"/>
              <w:left w:val="single" w:sz="4" w:color="D9D9D9"/>
              <w:bottom w:val="single" w:sz="4" w:color="D9D9D9"/>
              <w:right w:val="single" w:sz="4" w:color="D9D9D9"/>
            </w:tcBorders>
            <w:vAlign w:val="center"/>
          </w:tcPr>
          <w:p>
            <w:r>
              <w:rPr>
                <w:sz w:val="14"/>
              </w:rPr>
              <w:t>Application of Large Electronic Medical Database for Detecting Undiagnosed Patients in the General Population.</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GI-0095</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Application of pattern recognition techniques to pharyngeal high-resolution manometry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GI-0096</w:t>
            </w:r>
          </w:p>
        </w:tc>
        <w:tc>
          <w:tcPr>
            <w:tcW w:type="dxa" w:w="4896"/>
            <w:tcBorders>
              <w:top w:val="single" w:sz="4" w:color="D9D9D9"/>
              <w:left w:val="single" w:sz="4" w:color="D9D9D9"/>
              <w:bottom w:val="single" w:sz="4" w:color="D9D9D9"/>
              <w:right w:val="single" w:sz="4" w:color="D9D9D9"/>
            </w:tcBorders>
            <w:vAlign w:val="center"/>
          </w:tcPr>
          <w:p>
            <w:r>
              <w:rPr>
                <w:sz w:val="14"/>
              </w:rPr>
              <w:t>Applications of Artificial Intelligence to Eosinophilic Esophagitis.</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GI-0098</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Applying the Chicago Classification criteria of esophageal motility to a pediatric cohort: Effects of patient age and size</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GI-0103</w:t>
            </w:r>
          </w:p>
        </w:tc>
        <w:tc>
          <w:tcPr>
            <w:tcW w:type="dxa" w:w="4896"/>
            <w:tcBorders>
              <w:top w:val="single" w:sz="4" w:color="D9D9D9"/>
              <w:left w:val="single" w:sz="4" w:color="D9D9D9"/>
              <w:bottom w:val="single" w:sz="4" w:color="D9D9D9"/>
              <w:right w:val="single" w:sz="4" w:color="D9D9D9"/>
            </w:tcBorders>
            <w:vAlign w:val="center"/>
          </w:tcPr>
          <w:p>
            <w:r>
              <w:rPr>
                <w:sz w:val="14"/>
              </w:rPr>
              <w:t>Artificial intelligence-based polyp size measurement in gastrointestinal endoscopy using the auxiliary waterjet as a reference.</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GI-0104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Artificial Intelligence Chatbot Shows Multiple Inaccuracies When Responding to Questions About Eosinophilic Esophagitis.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computational analysis in “Artificial Intelligence Chatbot Shows Multiple Inaccuracies When Responding to Questions About Eosinophilic Esophagitis.” is used for patient information or management advice, rather than an eligible current esophageal diagnostic or quantitative-assessment objective.</w:t>
            </w:r>
          </w:p>
        </w:tc>
      </w:tr>
      <w:tr>
        <w:tc>
          <w:tcPr>
            <w:tcW w:type="dxa" w:w="1152"/>
            <w:tcBorders>
              <w:top w:val="single" w:sz="4" w:color="D9D9D9"/>
              <w:left w:val="single" w:sz="4" w:color="D9D9D9"/>
              <w:bottom w:val="single" w:sz="4" w:color="D9D9D9"/>
              <w:right w:val="single" w:sz="4" w:color="D9D9D9"/>
            </w:tcBorders>
            <w:vAlign w:val="center"/>
          </w:tcPr>
          <w:p>
            <w:r>
              <w:rPr>
                <w:sz w:val="14"/>
              </w:rPr>
              <w:t>GI-0108</w:t>
            </w:r>
          </w:p>
        </w:tc>
        <w:tc>
          <w:tcPr>
            <w:tcW w:type="dxa" w:w="4896"/>
            <w:tcBorders>
              <w:top w:val="single" w:sz="4" w:color="D9D9D9"/>
              <w:left w:val="single" w:sz="4" w:color="D9D9D9"/>
              <w:bottom w:val="single" w:sz="4" w:color="D9D9D9"/>
              <w:right w:val="single" w:sz="4" w:color="D9D9D9"/>
            </w:tcBorders>
            <w:vAlign w:val="center"/>
          </w:tcPr>
          <w:p>
            <w:r>
              <w:rPr>
                <w:sz w:val="14"/>
              </w:rPr>
              <w:t>Artificial Intelligence-Generated Scientific Literature: A Critical Appraisal.</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exact report “Artificial Intelligence-Generated Scientific Literature: A Critical Appraisal.” is a review, chapter, guideline, commentary, or other non-results evidence type and does not report an eligible original empirical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GI-0110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Artificial intelligence in gastroenterology and hepatology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tcPr>
          <w:p>
            <w:r>
              <w:rPr>
                <w:sz w:val="14"/>
              </w:rPr>
              <w:t>GI-0112</w:t>
            </w:r>
          </w:p>
        </w:tc>
        <w:tc>
          <w:tcPr>
            <w:tcW w:type="dxa" w:w="4896"/>
            <w:tcBorders>
              <w:top w:val="single" w:sz="4" w:color="D9D9D9"/>
              <w:left w:val="single" w:sz="4" w:color="D9D9D9"/>
              <w:bottom w:val="single" w:sz="4" w:color="D9D9D9"/>
              <w:right w:val="single" w:sz="4" w:color="D9D9D9"/>
            </w:tcBorders>
            <w:vAlign w:val="center"/>
          </w:tcPr>
          <w:p>
            <w:r>
              <w:rPr>
                <w:sz w:val="14"/>
              </w:rPr>
              <w:t>Artificial Intelligence in the Diagnosis of Upper Gastrointestinal Diseases.</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GI-0117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Association between polymorphisms in cancer-related genes and early onset of esophageal adenocarcinoma.</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evaluates “Association between polymorphisms in cancer-related genes and early onset of esophageal adenocarcinoma.” but is confined to cancer risk, staging, prognosis, or treatment without an eligible esophageal dysfunction analysis.</w:t>
            </w:r>
          </w:p>
        </w:tc>
      </w:tr>
      <w:tr>
        <w:tc>
          <w:tcPr>
            <w:tcW w:type="dxa" w:w="1152"/>
            <w:tcBorders>
              <w:top w:val="single" w:sz="4" w:color="D9D9D9"/>
              <w:left w:val="single" w:sz="4" w:color="D9D9D9"/>
              <w:bottom w:val="single" w:sz="4" w:color="D9D9D9"/>
              <w:right w:val="single" w:sz="4" w:color="D9D9D9"/>
            </w:tcBorders>
            <w:vAlign w:val="center"/>
          </w:tcPr>
          <w:p>
            <w:r>
              <w:rPr>
                <w:sz w:val="14"/>
              </w:rPr>
              <w:t>GI-0118</w:t>
            </w:r>
          </w:p>
        </w:tc>
        <w:tc>
          <w:tcPr>
            <w:tcW w:type="dxa" w:w="4896"/>
            <w:tcBorders>
              <w:top w:val="single" w:sz="4" w:color="D9D9D9"/>
              <w:left w:val="single" w:sz="4" w:color="D9D9D9"/>
              <w:bottom w:val="single" w:sz="4" w:color="D9D9D9"/>
              <w:right w:val="single" w:sz="4" w:color="D9D9D9"/>
            </w:tcBorders>
            <w:vAlign w:val="center"/>
          </w:tcPr>
          <w:p>
            <w:r>
              <w:rPr>
                <w:sz w:val="14"/>
              </w:rPr>
              <w:t>ASSOCIATION of A LOWER BODY-MASS INDEX with the PRESENCE of ILD in SSC PATIENTS-A DERIVATION PREDICTION STUDY USING DECISION TREE-BASED ALGORITHMS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GI-0119</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Association of Gastroesophageal Reflux Disease with Preterm Birth: Machine Learning Analysis.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Machine learning is used to study association with preterm birth/future risk, not eligible esophageal diagnosis or assessment.</w:t>
            </w:r>
          </w:p>
        </w:tc>
      </w:tr>
      <w:tr>
        <w:tc>
          <w:tcPr>
            <w:tcW w:type="dxa" w:w="1152"/>
            <w:tcBorders>
              <w:top w:val="single" w:sz="4" w:color="D9D9D9"/>
              <w:left w:val="single" w:sz="4" w:color="D9D9D9"/>
              <w:bottom w:val="single" w:sz="4" w:color="D9D9D9"/>
              <w:right w:val="single" w:sz="4" w:color="D9D9D9"/>
            </w:tcBorders>
            <w:vAlign w:val="center"/>
          </w:tcPr>
          <w:p>
            <w:r>
              <w:rPr>
                <w:sz w:val="14"/>
              </w:rPr>
              <w:t>GI-0120</w:t>
            </w:r>
          </w:p>
        </w:tc>
        <w:tc>
          <w:tcPr>
            <w:tcW w:type="dxa" w:w="4896"/>
            <w:tcBorders>
              <w:top w:val="single" w:sz="4" w:color="D9D9D9"/>
              <w:left w:val="single" w:sz="4" w:color="D9D9D9"/>
              <w:bottom w:val="single" w:sz="4" w:color="D9D9D9"/>
              <w:right w:val="single" w:sz="4" w:color="D9D9D9"/>
            </w:tcBorders>
            <w:vAlign w:val="center"/>
          </w:tcPr>
          <w:p>
            <w:r>
              <w:rPr>
                <w:sz w:val="14"/>
              </w:rPr>
              <w:t>Association of preterm birth with medications: machine learning analysis using national health insurance data.</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GERD was used as a predictor in machine-learning models whose dependent outcome was preterm birth. The report does not perform diagnosis, classification or quantitative assessment of GERD or esophageal dysfunction; its objective is outside the frozen concept/context.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GI-0121</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Associations of Preterm Birth with Dental and Gastrointestinal Diseases: Machine Learning Analysis Using National Health Insurance Data.</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machine-learning model predicts preterm birth, with GERD treated as an independent predictor. It does not diagnose, classify or quantitatively assess GERD or esophageal dysfunction, so the objective is outside the frozen concept/context.</w:t>
            </w:r>
          </w:p>
        </w:tc>
      </w:tr>
      <w:tr>
        <w:tc>
          <w:tcPr>
            <w:tcW w:type="dxa" w:w="1152"/>
            <w:tcBorders>
              <w:top w:val="single" w:sz="4" w:color="D9D9D9"/>
              <w:left w:val="single" w:sz="4" w:color="D9D9D9"/>
              <w:bottom w:val="single" w:sz="4" w:color="D9D9D9"/>
              <w:right w:val="single" w:sz="4" w:color="D9D9D9"/>
            </w:tcBorders>
            <w:vAlign w:val="center"/>
          </w:tcPr>
          <w:p>
            <w:r>
              <w:rPr>
                <w:sz w:val="14"/>
              </w:rPr>
              <w:t>GI-0122</w:t>
            </w:r>
          </w:p>
        </w:tc>
        <w:tc>
          <w:tcPr>
            <w:tcW w:type="dxa" w:w="4896"/>
            <w:tcBorders>
              <w:top w:val="single" w:sz="4" w:color="D9D9D9"/>
              <w:left w:val="single" w:sz="4" w:color="D9D9D9"/>
              <w:bottom w:val="single" w:sz="4" w:color="D9D9D9"/>
              <w:right w:val="single" w:sz="4" w:color="D9D9D9"/>
            </w:tcBorders>
            <w:vAlign w:val="center"/>
          </w:tcPr>
          <w:p>
            <w:r>
              <w:rPr>
                <w:sz w:val="14"/>
              </w:rPr>
              <w:t>Atopic dermatitis.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report is a disease primer on atopic dermatitis; eosinophilic oesophagitis is mentioned only as a comorbidity and no eligible esophageal analysis is reported.</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GI-0124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Autoimmune, atopic, and mental health comorbid conditions associated with alopecia areata in the United States.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GI-0126</w:t>
            </w:r>
          </w:p>
        </w:tc>
        <w:tc>
          <w:tcPr>
            <w:tcW w:type="dxa" w:w="4896"/>
            <w:tcBorders>
              <w:top w:val="single" w:sz="4" w:color="D9D9D9"/>
              <w:left w:val="single" w:sz="4" w:color="D9D9D9"/>
              <w:bottom w:val="single" w:sz="4" w:color="D9D9D9"/>
              <w:right w:val="single" w:sz="4" w:color="D9D9D9"/>
            </w:tcBorders>
            <w:vAlign w:val="center"/>
          </w:tcPr>
          <w:p>
            <w:r>
              <w:rPr>
                <w:sz w:val="14"/>
              </w:rPr>
              <w:t>AUTOMATED BOLUS DETECTION IN VIDEOFLUOROSCOPIC IMAGES OF SWALLOWING USING MASK-RCNN</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GI-0134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Automatic detection of swallowing events based on surface electromyography.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GI-0141</w:t>
            </w:r>
          </w:p>
        </w:tc>
        <w:tc>
          <w:tcPr>
            <w:tcW w:type="dxa" w:w="4896"/>
            <w:tcBorders>
              <w:top w:val="single" w:sz="4" w:color="D9D9D9"/>
              <w:left w:val="single" w:sz="4" w:color="D9D9D9"/>
              <w:bottom w:val="single" w:sz="4" w:color="D9D9D9"/>
              <w:right w:val="single" w:sz="4" w:color="D9D9D9"/>
            </w:tcBorders>
            <w:vAlign w:val="center"/>
          </w:tcPr>
          <w:p>
            <w:r>
              <w:rPr>
                <w:sz w:val="14"/>
              </w:rPr>
              <w:t>Beyond clinical introduction of AI models: a fast and simple way to improve DL IMPT plan quality</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GI-0146</w:t>
            </w:r>
          </w:p>
        </w:tc>
        <w:tc>
          <w:tcPr>
            <w:tcW w:type="dxa" w:w="4896"/>
            <w:tcBorders>
              <w:top w:val="single" w:sz="4" w:color="D9D9D9"/>
              <w:left w:val="single" w:sz="4" w:color="D9D9D9"/>
              <w:bottom w:val="single" w:sz="4" w:color="D9D9D9"/>
              <w:right w:val="single" w:sz="4" w:color="D9D9D9"/>
            </w:tcBorders>
            <w:vAlign w:val="center"/>
            <w:shd w:fill="F6F8FA"/>
          </w:tcPr>
          <w:p>
            <w:r>
              <w:rPr>
                <w:sz w:val="14"/>
              </w:rPr>
              <w:t>Can artificial neural networks be beneficial in diagnosing gastro-oesophageal reflux disease?</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Editorial/commentary without original study data. The linked primary investigation is GI-0116.</w:t>
            </w:r>
          </w:p>
        </w:tc>
      </w:tr>
      <w:tr>
        <w:tc>
          <w:tcPr>
            <w:tcW w:type="dxa" w:w="1152"/>
            <w:tcBorders>
              <w:top w:val="single" w:sz="4" w:color="D9D9D9"/>
              <w:left w:val="single" w:sz="4" w:color="D9D9D9"/>
              <w:bottom w:val="single" w:sz="4" w:color="D9D9D9"/>
              <w:right w:val="single" w:sz="4" w:color="D9D9D9"/>
            </w:tcBorders>
            <w:vAlign w:val="center"/>
          </w:tcPr>
          <w:p>
            <w:r>
              <w:rPr>
                <w:sz w:val="14"/>
              </w:rPr>
              <w:t>GI-0150</w:t>
            </w:r>
          </w:p>
        </w:tc>
        <w:tc>
          <w:tcPr>
            <w:tcW w:type="dxa" w:w="4896"/>
            <w:tcBorders>
              <w:top w:val="single" w:sz="4" w:color="D9D9D9"/>
              <w:left w:val="single" w:sz="4" w:color="D9D9D9"/>
              <w:bottom w:val="single" w:sz="4" w:color="D9D9D9"/>
              <w:right w:val="single" w:sz="4" w:color="D9D9D9"/>
            </w:tcBorders>
            <w:vAlign w:val="center"/>
          </w:tcPr>
          <w:p>
            <w:r>
              <w:rPr>
                <w:sz w:val="14"/>
              </w:rPr>
              <w:t>Central control of lower esophageal sphincter relaxation.</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GI-0153</w:t>
            </w:r>
          </w:p>
        </w:tc>
        <w:tc>
          <w:tcPr>
            <w:tcW w:type="dxa" w:w="4896"/>
            <w:tcBorders>
              <w:top w:val="single" w:sz="4" w:color="D9D9D9"/>
              <w:left w:val="single" w:sz="4" w:color="D9D9D9"/>
              <w:bottom w:val="single" w:sz="4" w:color="D9D9D9"/>
              <w:right w:val="single" w:sz="4" w:color="D9D9D9"/>
            </w:tcBorders>
            <w:vAlign w:val="center"/>
            <w:shd w:fill="F6F8FA"/>
          </w:tcPr>
          <w:p>
            <w:r>
              <w:rPr>
                <w:sz w:val="14"/>
              </w:rPr>
              <w:t>CHARACTERISTICS AND OUTCOMES OF HOSPITALIZED PATIENTS AFTER PERORAL ENDOSCOPIC MYOTOMY (POEM) PROCEDURES IN THE UNITED STATES: A 2020 ANALYSIS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fails the concept criterion because it lacks an eligible AI/ML or comparable computational diagnostic or quantitative-assessment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GI-0154</w:t>
            </w:r>
          </w:p>
        </w:tc>
        <w:tc>
          <w:tcPr>
            <w:tcW w:type="dxa" w:w="4896"/>
            <w:tcBorders>
              <w:top w:val="single" w:sz="4" w:color="D9D9D9"/>
              <w:left w:val="single" w:sz="4" w:color="D9D9D9"/>
              <w:bottom w:val="single" w:sz="4" w:color="D9D9D9"/>
              <w:right w:val="single" w:sz="4" w:color="D9D9D9"/>
            </w:tcBorders>
            <w:vAlign w:val="center"/>
          </w:tcPr>
          <w:p>
            <w:r>
              <w:rPr>
                <w:sz w:val="14"/>
              </w:rPr>
              <w:t>Characteristics of chronic megacolon among patients diagnosed with multiple endocrine neoplasia type 2B.</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GI-0158</w:t>
            </w:r>
          </w:p>
        </w:tc>
        <w:tc>
          <w:tcPr>
            <w:tcW w:type="dxa" w:w="4896"/>
            <w:tcBorders>
              <w:top w:val="single" w:sz="4" w:color="D9D9D9"/>
              <w:left w:val="single" w:sz="4" w:color="D9D9D9"/>
              <w:bottom w:val="single" w:sz="4" w:color="D9D9D9"/>
              <w:right w:val="single" w:sz="4" w:color="D9D9D9"/>
            </w:tcBorders>
            <w:vAlign w:val="center"/>
            <w:shd w:fill="F6F8FA"/>
          </w:tcPr>
          <w:p>
            <w:r>
              <w:rPr>
                <w:sz w:val="14"/>
              </w:rPr>
              <w:t>Characterizing Swallows From People With Neurodegenerative Diseases Using High-Resolution Cervical Auscultation Signals and Temporal and Spatial Swallow Kinematic Measurements.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GI-0172</w:t>
            </w:r>
          </w:p>
        </w:tc>
        <w:tc>
          <w:tcPr>
            <w:tcW w:type="dxa" w:w="4896"/>
            <w:tcBorders>
              <w:top w:val="single" w:sz="4" w:color="D9D9D9"/>
              <w:left w:val="single" w:sz="4" w:color="D9D9D9"/>
              <w:bottom w:val="single" w:sz="4" w:color="D9D9D9"/>
              <w:right w:val="single" w:sz="4" w:color="D9D9D9"/>
            </w:tcBorders>
            <w:vAlign w:val="center"/>
          </w:tcPr>
          <w:p>
            <w:r>
              <w:rPr>
                <w:sz w:val="14"/>
              </w:rPr>
              <w:t>Combination of a Big Data Analytics Resource System With an Artificial Intelligence Algorithm to Identify Clinically Actionable Radiation Dose Thresholds for Dysphagia in Head and Neck Patients.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GI-0173</w:t>
            </w:r>
          </w:p>
        </w:tc>
        <w:tc>
          <w:tcPr>
            <w:tcW w:type="dxa" w:w="4896"/>
            <w:tcBorders>
              <w:top w:val="single" w:sz="4" w:color="D9D9D9"/>
              <w:left w:val="single" w:sz="4" w:color="D9D9D9"/>
              <w:bottom w:val="single" w:sz="4" w:color="D9D9D9"/>
              <w:right w:val="single" w:sz="4" w:color="D9D9D9"/>
            </w:tcBorders>
            <w:vAlign w:val="center"/>
            <w:shd w:fill="F6F8FA"/>
          </w:tcPr>
          <w:p>
            <w:r>
              <w:rPr>
                <w:sz w:val="14"/>
              </w:rPr>
              <w:t>Combining a Big Data Analytics Resource System with Artificial Intelligence Algorithms to Identify Clinically Actionable Radiation Dose Thresholds for Dysphagia in Head and Neck Patients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GI-0175</w:t>
            </w:r>
          </w:p>
        </w:tc>
        <w:tc>
          <w:tcPr>
            <w:tcW w:type="dxa" w:w="4896"/>
            <w:tcBorders>
              <w:top w:val="single" w:sz="4" w:color="D9D9D9"/>
              <w:left w:val="single" w:sz="4" w:color="D9D9D9"/>
              <w:bottom w:val="single" w:sz="4" w:color="D9D9D9"/>
              <w:right w:val="single" w:sz="4" w:color="D9D9D9"/>
            </w:tcBorders>
            <w:vAlign w:val="center"/>
          </w:tcPr>
          <w:p>
            <w:r>
              <w:rPr>
                <w:sz w:val="14"/>
              </w:rPr>
              <w:t>Comparison of balloon-occluded esophageal varices obliteration and endoscopic variceal ligation for high-risk esophageal varices of various diameters: a prospective randomized controlled trial</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randomized treatment comparison does not evaluate an eligible AI, machine-learning, or comparable computational diagnostic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GI-0176</w:t>
            </w:r>
          </w:p>
        </w:tc>
        <w:tc>
          <w:tcPr>
            <w:tcW w:type="dxa" w:w="4896"/>
            <w:tcBorders>
              <w:top w:val="single" w:sz="4" w:color="D9D9D9"/>
              <w:left w:val="single" w:sz="4" w:color="D9D9D9"/>
              <w:bottom w:val="single" w:sz="4" w:color="D9D9D9"/>
              <w:right w:val="single" w:sz="4" w:color="D9D9D9"/>
            </w:tcBorders>
            <w:vAlign w:val="center"/>
            <w:shd w:fill="F6F8FA"/>
          </w:tcPr>
          <w:p>
            <w:r>
              <w:rPr>
                <w:sz w:val="14"/>
              </w:rPr>
              <w:t>Comparison of Feature Selection Methods for Predicting RT-Induced Toxicity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GI-0179</w:t>
            </w:r>
          </w:p>
        </w:tc>
        <w:tc>
          <w:tcPr>
            <w:tcW w:type="dxa" w:w="4896"/>
            <w:tcBorders>
              <w:top w:val="single" w:sz="4" w:color="D9D9D9"/>
              <w:left w:val="single" w:sz="4" w:color="D9D9D9"/>
              <w:bottom w:val="single" w:sz="4" w:color="D9D9D9"/>
              <w:right w:val="single" w:sz="4" w:color="D9D9D9"/>
            </w:tcBorders>
            <w:vAlign w:val="center"/>
          </w:tcPr>
          <w:p>
            <w:r>
              <w:rPr>
                <w:sz w:val="14"/>
              </w:rPr>
              <w:t>Computational analysis to define efficacy &amp; molecular mechanisms of 7, 4’- Dihydroxyflavone on eosinophilic esophagitis: Ex-vivo validation in human esophagus biopsies</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GI-0182</w:t>
            </w:r>
          </w:p>
        </w:tc>
        <w:tc>
          <w:tcPr>
            <w:tcW w:type="dxa" w:w="4896"/>
            <w:tcBorders>
              <w:top w:val="single" w:sz="4" w:color="D9D9D9"/>
              <w:left w:val="single" w:sz="4" w:color="D9D9D9"/>
              <w:bottom w:val="single" w:sz="4" w:color="D9D9D9"/>
              <w:right w:val="single" w:sz="4" w:color="D9D9D9"/>
            </w:tcBorders>
            <w:vAlign w:val="center"/>
            <w:shd w:fill="F6F8FA"/>
          </w:tcPr>
          <w:p>
            <w:r>
              <w:rPr>
                <w:sz w:val="14"/>
              </w:rPr>
              <w:t>Computer-assisted robotic heller myotomy: initial case report.</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describes use of the da Vinci telemanipulator during Heller myotomy in one patient. Computer-assisted robotic instrumentation is used to perform surgery, but no AI/ML diagnostic, classification, segmentation, phenotyping, or quantitative-assessment model is evaluated.</w:t>
            </w:r>
          </w:p>
        </w:tc>
      </w:tr>
      <w:tr>
        <w:tc>
          <w:tcPr>
            <w:tcW w:type="dxa" w:w="1152"/>
            <w:tcBorders>
              <w:top w:val="single" w:sz="4" w:color="D9D9D9"/>
              <w:left w:val="single" w:sz="4" w:color="D9D9D9"/>
              <w:bottom w:val="single" w:sz="4" w:color="D9D9D9"/>
              <w:right w:val="single" w:sz="4" w:color="D9D9D9"/>
            </w:tcBorders>
            <w:vAlign w:val="center"/>
          </w:tcPr>
          <w:p>
            <w:r>
              <w:rPr>
                <w:sz w:val="14"/>
              </w:rPr>
              <w:t>GI-0191</w:t>
            </w:r>
          </w:p>
        </w:tc>
        <w:tc>
          <w:tcPr>
            <w:tcW w:type="dxa" w:w="4896"/>
            <w:tcBorders>
              <w:top w:val="single" w:sz="4" w:color="D9D9D9"/>
              <w:left w:val="single" w:sz="4" w:color="D9D9D9"/>
              <w:bottom w:val="single" w:sz="4" w:color="D9D9D9"/>
              <w:right w:val="single" w:sz="4" w:color="D9D9D9"/>
            </w:tcBorders>
            <w:vAlign w:val="center"/>
          </w:tcPr>
          <w:p>
            <w:r>
              <w:rPr>
                <w:sz w:val="14"/>
              </w:rPr>
              <w:t>Data-driven decision-making for precision diagnosis of digestive diseases</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exact report “Data-driven decision-making for precision diagnosis of digestive diseases” is a review, chapter, guideline, commentary, or other non-results evidence type and does not report an eligible original empirical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GI-0202</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Deep Learning for Automatic Hyoid Tracking in Videofluoroscopic Swallow Studies.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GI-0206</w:t>
            </w:r>
          </w:p>
        </w:tc>
        <w:tc>
          <w:tcPr>
            <w:tcW w:type="dxa" w:w="4896"/>
            <w:tcBorders>
              <w:top w:val="single" w:sz="4" w:color="D9D9D9"/>
              <w:left w:val="single" w:sz="4" w:color="D9D9D9"/>
              <w:bottom w:val="single" w:sz="4" w:color="D9D9D9"/>
              <w:right w:val="single" w:sz="4" w:color="D9D9D9"/>
            </w:tcBorders>
            <w:vAlign w:val="center"/>
          </w:tcPr>
          <w:p>
            <w:r>
              <w:rPr>
                <w:sz w:val="14"/>
              </w:rPr>
              <w:t>Design of risk prediction model for esophageal cancer based on machine learning approach.</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evaluates “Design of risk prediction model for esophageal cancer based on machine learning approach.” but is confined to cancer risk, staging, prognosis, or treatment without an eligible esophageal dysfunction analysis.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GI-0210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Determinants of Spontaneous Preterm Labor and Birth Including Gastroesophageal Reflux Disease and Periodontitis.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evaluates “Determinants of Spontaneous Preterm Labor and Birth Including Gastroesophageal Reflux Disease and Periodontitis.” but is confined to preterm birth as the analyzed outcome rather than esophageal disease assessment.</w:t>
            </w:r>
          </w:p>
        </w:tc>
      </w:tr>
      <w:tr>
        <w:tc>
          <w:tcPr>
            <w:tcW w:type="dxa" w:w="1152"/>
            <w:tcBorders>
              <w:top w:val="single" w:sz="4" w:color="D9D9D9"/>
              <w:left w:val="single" w:sz="4" w:color="D9D9D9"/>
              <w:bottom w:val="single" w:sz="4" w:color="D9D9D9"/>
              <w:right w:val="single" w:sz="4" w:color="D9D9D9"/>
            </w:tcBorders>
            <w:vAlign w:val="center"/>
          </w:tcPr>
          <w:p>
            <w:r>
              <w:rPr>
                <w:sz w:val="14"/>
              </w:rPr>
              <w:t>GI-0215</w:t>
            </w:r>
          </w:p>
        </w:tc>
        <w:tc>
          <w:tcPr>
            <w:tcW w:type="dxa" w:w="4896"/>
            <w:tcBorders>
              <w:top w:val="single" w:sz="4" w:color="D9D9D9"/>
              <w:left w:val="single" w:sz="4" w:color="D9D9D9"/>
              <w:bottom w:val="single" w:sz="4" w:color="D9D9D9"/>
              <w:right w:val="single" w:sz="4" w:color="D9D9D9"/>
            </w:tcBorders>
            <w:vAlign w:val="center"/>
          </w:tcPr>
          <w:p>
            <w:r>
              <w:rPr>
                <w:sz w:val="14"/>
              </w:rPr>
              <w:t>Development and Validation of an Artificial Intelligence-Based Model to Predict Gastroesophageal Reflux Disease After Sleeve Gastrectomy.</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ensemble AI model predicts future onset of de novo GERD after sleeve gastrectomy from preoperative and operative variables. The frozen concept excludes treatment-related future-risk prediction rather than current diagnosis or quantitative esophageal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GI-0224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Developments in Gastroesophageal Reflux Disease over the Last 40 Years.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tcPr>
          <w:p>
            <w:r>
              <w:rPr>
                <w:sz w:val="14"/>
              </w:rPr>
              <w:t>GI-0230</w:t>
            </w:r>
          </w:p>
        </w:tc>
        <w:tc>
          <w:tcPr>
            <w:tcW w:type="dxa" w:w="4896"/>
            <w:tcBorders>
              <w:top w:val="single" w:sz="4" w:color="D9D9D9"/>
              <w:left w:val="single" w:sz="4" w:color="D9D9D9"/>
              <w:bottom w:val="single" w:sz="4" w:color="D9D9D9"/>
              <w:right w:val="single" w:sz="4" w:color="D9D9D9"/>
            </w:tcBorders>
            <w:vAlign w:val="center"/>
          </w:tcPr>
          <w:p>
            <w:r>
              <w:rPr>
                <w:sz w:val="14"/>
              </w:rPr>
              <w:t>Diagnostic value of combining ultrafast cine MRI and morphological measurements on gastroesophageal reflux disease.</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study prospectively evaluated cine MRI and manually measured GEJ morphology in 40 healthy volunteers and 30 patients with GERD. Deep learning was used only by the MRI reconstruction pipeline. The investigators did not develop, train, validate, or report performance of an original AI/ML diagnostic model. Exclude under FT2.</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GI-0231</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Diagnostic value of Peptest™ combined with gastroesophageal reflux disease questionnaire in identifying patients with gastroesophageal reflux-induced chronic cough.</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Peptest and questionnaire diagnostic performance are evaluated without an eligible AI, machine-learning, or comparable computational model.</w:t>
            </w:r>
          </w:p>
        </w:tc>
      </w:tr>
      <w:tr>
        <w:tc>
          <w:tcPr>
            <w:tcW w:type="dxa" w:w="1152"/>
            <w:tcBorders>
              <w:top w:val="single" w:sz="4" w:color="D9D9D9"/>
              <w:left w:val="single" w:sz="4" w:color="D9D9D9"/>
              <w:bottom w:val="single" w:sz="4" w:color="D9D9D9"/>
              <w:right w:val="single" w:sz="4" w:color="D9D9D9"/>
            </w:tcBorders>
            <w:vAlign w:val="center"/>
          </w:tcPr>
          <w:p>
            <w:r>
              <w:rPr>
                <w:sz w:val="14"/>
              </w:rPr>
              <w:t>GI-0234</w:t>
            </w:r>
          </w:p>
        </w:tc>
        <w:tc>
          <w:tcPr>
            <w:tcW w:type="dxa" w:w="4896"/>
            <w:tcBorders>
              <w:top w:val="single" w:sz="4" w:color="D9D9D9"/>
              <w:left w:val="single" w:sz="4" w:color="D9D9D9"/>
              <w:bottom w:val="single" w:sz="4" w:color="D9D9D9"/>
              <w:right w:val="single" w:sz="4" w:color="D9D9D9"/>
            </w:tcBorders>
            <w:vAlign w:val="center"/>
          </w:tcPr>
          <w:p>
            <w:r>
              <w:rPr>
                <w:sz w:val="14"/>
              </w:rPr>
              <w:t>Differing multiple rapid swallow responses in Achalasia spectrum disorders on high resolution manometry (HRM)</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Although computation is mentioned, the report does not establish an eligible original AI/ML diagnostic, classification, segmentation, phenotyping, or quantitative-assessment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GI-0239</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Distal contractile integral and other key predictors of mean nocturnal baseline impedance: The role of esophageal peristaltic vigor in mucosal permeability.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Although computation is mentioned, the report does not establish an eligible original AI/ML diagnostic, classification, segmentation, phenotyping, or quantitative-assessment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GI-0240</w:t>
            </w:r>
          </w:p>
        </w:tc>
        <w:tc>
          <w:tcPr>
            <w:tcW w:type="dxa" w:w="4896"/>
            <w:tcBorders>
              <w:top w:val="single" w:sz="4" w:color="D9D9D9"/>
              <w:left w:val="single" w:sz="4" w:color="D9D9D9"/>
              <w:bottom w:val="single" w:sz="4" w:color="D9D9D9"/>
              <w:right w:val="single" w:sz="4" w:color="D9D9D9"/>
            </w:tcBorders>
            <w:vAlign w:val="center"/>
          </w:tcPr>
          <w:p>
            <w:r>
              <w:rPr>
                <w:sz w:val="14"/>
              </w:rPr>
              <w:t>DISTINCT HISTOPATHOLOGIC FEATURES ON DIAGNOSTIC EOE BIOPSIES DISCRIMINATE PPI-RESPONDERS FROM NON-RESPONDERS</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GI-0241</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Dose-volume predictors of dysphagia after definitive radiotherapy in larynx and hypopharynx cancer</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GI-0244</w:t>
            </w:r>
          </w:p>
        </w:tc>
        <w:tc>
          <w:tcPr>
            <w:tcW w:type="dxa" w:w="4896"/>
            <w:tcBorders>
              <w:top w:val="single" w:sz="4" w:color="D9D9D9"/>
              <w:left w:val="single" w:sz="4" w:color="D9D9D9"/>
              <w:bottom w:val="single" w:sz="4" w:color="D9D9D9"/>
              <w:right w:val="single" w:sz="4" w:color="D9D9D9"/>
            </w:tcBorders>
            <w:vAlign w:val="center"/>
          </w:tcPr>
          <w:p>
            <w:r>
              <w:rPr>
                <w:sz w:val="14"/>
              </w:rPr>
              <w:t>Drug-induced gastric motility disorders: A disproportionality analysis from the FAERS and CVARD databases.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study mines pharmacovigilance reports for drug-associated gastric emptying and reflux safety signals. It does not analyze an eligible human esophageal diagnostic population, material, or separable esophageal dysfunction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GI-0247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Dysautonomia</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Veterinary book chapter concerning feline dysautonomia and affected cats; no eligible human esophageal analysis.</w:t>
            </w:r>
          </w:p>
        </w:tc>
      </w:tr>
      <w:tr>
        <w:tc>
          <w:tcPr>
            <w:tcW w:type="dxa" w:w="1152"/>
            <w:tcBorders>
              <w:top w:val="single" w:sz="4" w:color="D9D9D9"/>
              <w:left w:val="single" w:sz="4" w:color="D9D9D9"/>
              <w:bottom w:val="single" w:sz="4" w:color="D9D9D9"/>
              <w:right w:val="single" w:sz="4" w:color="D9D9D9"/>
            </w:tcBorders>
            <w:vAlign w:val="center"/>
          </w:tcPr>
          <w:p>
            <w:r>
              <w:rPr>
                <w:sz w:val="14"/>
              </w:rPr>
              <w:t>GI-0248</w:t>
            </w:r>
          </w:p>
        </w:tc>
        <w:tc>
          <w:tcPr>
            <w:tcW w:type="dxa" w:w="4896"/>
            <w:tcBorders>
              <w:top w:val="single" w:sz="4" w:color="D9D9D9"/>
              <w:left w:val="single" w:sz="4" w:color="D9D9D9"/>
              <w:bottom w:val="single" w:sz="4" w:color="D9D9D9"/>
              <w:right w:val="single" w:sz="4" w:color="D9D9D9"/>
            </w:tcBorders>
            <w:vAlign w:val="center"/>
          </w:tcPr>
          <w:p>
            <w:r>
              <w:rPr>
                <w:sz w:val="14"/>
              </w:rPr>
              <w:t>Dysphagia and oral health [Yutma Bozukluǧu ve Aǧiz Saǧliǧi]</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This is a narrative review of dysphagia and oral health without original empirical results.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GI-0250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EARLY DOSIMETRIC FINDINGS FROM THE LEARNING FROM ANALYSIS OF MULTICENTRE BIG DATA AGGREGATION (LAMBDA) CONSORTIUM</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GI-0262</w:t>
            </w:r>
          </w:p>
        </w:tc>
        <w:tc>
          <w:tcPr>
            <w:tcW w:type="dxa" w:w="4896"/>
            <w:tcBorders>
              <w:top w:val="single" w:sz="4" w:color="D9D9D9"/>
              <w:left w:val="single" w:sz="4" w:color="D9D9D9"/>
              <w:bottom w:val="single" w:sz="4" w:color="D9D9D9"/>
              <w:right w:val="single" w:sz="4" w:color="D9D9D9"/>
            </w:tcBorders>
            <w:vAlign w:val="center"/>
          </w:tcPr>
          <w:p>
            <w:r>
              <w:rPr>
                <w:sz w:val="14"/>
              </w:rPr>
              <w:t>Elevating Patient Care With Deep Learning: High-Resolution Cervical Auscultation Signals for Swallowing Kinematic Analysis in Nasogastric Tube Patients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GI-0264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Endomicroscopy of intramuscular neuronal network using confocal laser endomicroscopy: A new diagnostic approach for enteral motility disorders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evaluates “Endomicroscopy of intramuscular neuronal network using confocal laser endomicroscopy: A new diagnostic approach for enteral motility disorders” but is confined to a population or biological domain outside eligible human esophageal dysfunction.</w:t>
            </w:r>
          </w:p>
        </w:tc>
      </w:tr>
      <w:tr>
        <w:tc>
          <w:tcPr>
            <w:tcW w:type="dxa" w:w="1152"/>
            <w:tcBorders>
              <w:top w:val="single" w:sz="4" w:color="D9D9D9"/>
              <w:left w:val="single" w:sz="4" w:color="D9D9D9"/>
              <w:bottom w:val="single" w:sz="4" w:color="D9D9D9"/>
              <w:right w:val="single" w:sz="4" w:color="D9D9D9"/>
            </w:tcBorders>
            <w:vAlign w:val="center"/>
          </w:tcPr>
          <w:p>
            <w:r>
              <w:rPr>
                <w:sz w:val="14"/>
              </w:rPr>
              <w:t>GI-0265</w:t>
            </w:r>
          </w:p>
        </w:tc>
        <w:tc>
          <w:tcPr>
            <w:tcW w:type="dxa" w:w="4896"/>
            <w:tcBorders>
              <w:top w:val="single" w:sz="4" w:color="D9D9D9"/>
              <w:left w:val="single" w:sz="4" w:color="D9D9D9"/>
              <w:bottom w:val="single" w:sz="4" w:color="D9D9D9"/>
              <w:right w:val="single" w:sz="4" w:color="D9D9D9"/>
            </w:tcBorders>
            <w:vAlign w:val="center"/>
          </w:tcPr>
          <w:p>
            <w:r>
              <w:rPr>
                <w:sz w:val="14"/>
              </w:rPr>
              <w:t>Endoscopic abbreviations</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GI-0293</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Esophageal Manometry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Educational book chapter reviewing esophageal manometry and the Chicago Classification; it is not an original results-bearing empirical report.</w:t>
            </w:r>
          </w:p>
        </w:tc>
      </w:tr>
      <w:tr>
        <w:tc>
          <w:tcPr>
            <w:tcW w:type="dxa" w:w="1152"/>
            <w:tcBorders>
              <w:top w:val="single" w:sz="4" w:color="D9D9D9"/>
              <w:left w:val="single" w:sz="4" w:color="D9D9D9"/>
              <w:bottom w:val="single" w:sz="4" w:color="D9D9D9"/>
              <w:right w:val="single" w:sz="4" w:color="D9D9D9"/>
            </w:tcBorders>
            <w:vAlign w:val="center"/>
          </w:tcPr>
          <w:p>
            <w:r>
              <w:rPr>
                <w:sz w:val="14"/>
              </w:rPr>
              <w:t>GI-0300</w:t>
            </w:r>
          </w:p>
        </w:tc>
        <w:tc>
          <w:tcPr>
            <w:tcW w:type="dxa" w:w="4896"/>
            <w:tcBorders>
              <w:top w:val="single" w:sz="4" w:color="D9D9D9"/>
              <w:left w:val="single" w:sz="4" w:color="D9D9D9"/>
              <w:bottom w:val="single" w:sz="4" w:color="D9D9D9"/>
              <w:right w:val="single" w:sz="4" w:color="D9D9D9"/>
            </w:tcBorders>
            <w:vAlign w:val="center"/>
          </w:tcPr>
          <w:p>
            <w:r>
              <w:rPr>
                <w:sz w:val="14"/>
              </w:rPr>
              <w:t>Establishing Reference Values for Temporal Kinematic Swallow Events Across the Lifespan in Healthy Community Dwelling Adults Using HRCA</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study establishes VFSS temporal kinematic reference values for predominantly oropharyngeal/UES swallowing events in healthy adults and does not provide an eligible esophageal analysis.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GI-0308</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Evaluation of proton-pump-inhibitor (PPI)-resistant gastroesophageal reflux disease (GERD) by esophageal motility tests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Although computation is mentioned, the report does not establish an eligible original AI/ML diagnostic, classification, segmentation, phenotyping, or quantitative-assessment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GI-0311</w:t>
            </w:r>
          </w:p>
        </w:tc>
        <w:tc>
          <w:tcPr>
            <w:tcW w:type="dxa" w:w="4896"/>
            <w:tcBorders>
              <w:top w:val="single" w:sz="4" w:color="D9D9D9"/>
              <w:left w:val="single" w:sz="4" w:color="D9D9D9"/>
              <w:bottom w:val="single" w:sz="4" w:color="D9D9D9"/>
              <w:right w:val="single" w:sz="4" w:color="D9D9D9"/>
            </w:tcBorders>
            <w:vAlign w:val="center"/>
          </w:tcPr>
          <w:p>
            <w:r>
              <w:rPr>
                <w:sz w:val="14"/>
              </w:rPr>
              <w:t>Evaluation of the Potential Utility of an Artificial Intelligence Chatbot in Gastroesophageal Reflux Disease Management.</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computational analysis in “Evaluation of the Potential Utility of an Artificial Intelligence Chatbot in Gastroesophageal Reflux Disease Management.” is used for patient information or management advice, rather than an eligible current esophageal diagnostic or quantitative-assessment objective.</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GI-0312</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EXAMINING THE DEGLUTITIVE INTEGRATED RELAXATION PRESSURE (IRP) OF THE LOWER ESOPHAGEAL SPHINCTER (LES) IN 60 HEALTHY ASYMPTOMATIC CONTROLS AND 69 ACHALASIA PATIENTS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GI-0315</w:t>
            </w:r>
          </w:p>
        </w:tc>
        <w:tc>
          <w:tcPr>
            <w:tcW w:type="dxa" w:w="4896"/>
            <w:tcBorders>
              <w:top w:val="single" w:sz="4" w:color="D9D9D9"/>
              <w:left w:val="single" w:sz="4" w:color="D9D9D9"/>
              <w:bottom w:val="single" w:sz="4" w:color="D9D9D9"/>
              <w:right w:val="single" w:sz="4" w:color="D9D9D9"/>
            </w:tcBorders>
            <w:vAlign w:val="center"/>
          </w:tcPr>
          <w:p>
            <w:r>
              <w:rPr>
                <w:sz w:val="14"/>
              </w:rPr>
              <w:t>Exploration of the potential therapeutic effects and targets of Coriandrum sativum on non-erosive esophagitis based on bioinformatics and molecular dynamics simulation.</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report uses machine learning and NERD gene-expression data to discover candidate genes and predict therapeutic compounds for Coriandrum sativum. Its objective is therapeutic-target discovery rather than eligible diagnosis, classification, phenotyping or diagnostic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GI-0319</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Extraction of Spinal Candidate Region from A Dental MR Imaging</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GI-0321</w:t>
            </w:r>
          </w:p>
        </w:tc>
        <w:tc>
          <w:tcPr>
            <w:tcW w:type="dxa" w:w="4896"/>
            <w:tcBorders>
              <w:top w:val="single" w:sz="4" w:color="D9D9D9"/>
              <w:left w:val="single" w:sz="4" w:color="D9D9D9"/>
              <w:bottom w:val="single" w:sz="4" w:color="D9D9D9"/>
              <w:right w:val="single" w:sz="4" w:color="D9D9D9"/>
            </w:tcBorders>
            <w:vAlign w:val="center"/>
          </w:tcPr>
          <w:p>
            <w:r>
              <w:rPr>
                <w:sz w:val="14"/>
              </w:rPr>
              <w:t>Fast esophageal layer segmentation in OCT images of Guinea pigs based on sparse bayesian classification and graph search</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GI-0334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GA-SPARF: Genetic algorithm-tuned random forest for sleep position monitoring using accelerometer.</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model classifies sleep posture using accelerometer data from 20 healthy participants; participants with GERD or other stomach conditions were expressly excluded. GERD is only a proposed future application, with no eligible esophageal population or esophageal assessment in the analyzed cohort.</w:t>
            </w:r>
          </w:p>
        </w:tc>
      </w:tr>
      <w:tr>
        <w:tc>
          <w:tcPr>
            <w:tcW w:type="dxa" w:w="1152"/>
            <w:tcBorders>
              <w:top w:val="single" w:sz="4" w:color="D9D9D9"/>
              <w:left w:val="single" w:sz="4" w:color="D9D9D9"/>
              <w:bottom w:val="single" w:sz="4" w:color="D9D9D9"/>
              <w:right w:val="single" w:sz="4" w:color="D9D9D9"/>
            </w:tcBorders>
            <w:vAlign w:val="center"/>
          </w:tcPr>
          <w:p>
            <w:r>
              <w:rPr>
                <w:sz w:val="14"/>
              </w:rPr>
              <w:t>GI-0335</w:t>
            </w:r>
          </w:p>
        </w:tc>
        <w:tc>
          <w:tcPr>
            <w:tcW w:type="dxa" w:w="4896"/>
            <w:tcBorders>
              <w:top w:val="single" w:sz="4" w:color="D9D9D9"/>
              <w:left w:val="single" w:sz="4" w:color="D9D9D9"/>
              <w:bottom w:val="single" w:sz="4" w:color="D9D9D9"/>
              <w:right w:val="single" w:sz="4" w:color="D9D9D9"/>
            </w:tcBorders>
            <w:vAlign w:val="center"/>
          </w:tcPr>
          <w:p>
            <w:r>
              <w:rPr>
                <w:sz w:val="14"/>
              </w:rPr>
              <w:t>Gastroenterology/Hepatology: What You May Have Missed in 2023.</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GI-0337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Gastroesophageal reflux disease with 6 neurodegenerative and psychiatric disorders: Genetic correlations, causality, and potential molecular mechanisms.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tcPr>
          <w:p>
            <w:r>
              <w:rPr>
                <w:sz w:val="14"/>
              </w:rPr>
              <w:t>GI-0344</w:t>
            </w:r>
          </w:p>
        </w:tc>
        <w:tc>
          <w:tcPr>
            <w:tcW w:type="dxa" w:w="4896"/>
            <w:tcBorders>
              <w:top w:val="single" w:sz="4" w:color="D9D9D9"/>
              <w:left w:val="single" w:sz="4" w:color="D9D9D9"/>
              <w:bottom w:val="single" w:sz="4" w:color="D9D9D9"/>
              <w:right w:val="single" w:sz="4" w:color="D9D9D9"/>
            </w:tcBorders>
            <w:vAlign w:val="center"/>
          </w:tcPr>
          <w:p>
            <w:r>
              <w:rPr>
                <w:sz w:val="14"/>
              </w:rPr>
              <w:t>Harnessing Digital Pathology And Causal Learning To Improve Eosinophilic Esophagitis Dietary Treatment Assignment</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GI-0345</w:t>
            </w:r>
          </w:p>
        </w:tc>
        <w:tc>
          <w:tcPr>
            <w:tcW w:type="dxa" w:w="4896"/>
            <w:tcBorders>
              <w:top w:val="single" w:sz="4" w:color="D9D9D9"/>
              <w:left w:val="single" w:sz="4" w:color="D9D9D9"/>
              <w:bottom w:val="single" w:sz="4" w:color="D9D9D9"/>
              <w:right w:val="single" w:sz="4" w:color="D9D9D9"/>
            </w:tcBorders>
            <w:vAlign w:val="center"/>
            <w:shd w:fill="F6F8FA"/>
          </w:tcPr>
          <w:p>
            <w:r>
              <w:rPr>
                <w:sz w:val="14"/>
              </w:rPr>
              <w:t>HEAD AND NECK RADIOTHERAPY (RT) PATTERNS OF PRACTICE VARIABILITY IDENTIFIED AS A CHALLENGE TO REAL-WORLD BIG DATA: RECOMMENDATIONS FROM THE LEARNING FROM ANALYSIS OF MULTICENTRE BIG DATA AGGREGATION (LAMBDA) CONSORTIUM</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GI-0350</w:t>
            </w:r>
          </w:p>
        </w:tc>
        <w:tc>
          <w:tcPr>
            <w:tcW w:type="dxa" w:w="4896"/>
            <w:tcBorders>
              <w:top w:val="single" w:sz="4" w:color="D9D9D9"/>
              <w:left w:val="single" w:sz="4" w:color="D9D9D9"/>
              <w:bottom w:val="single" w:sz="4" w:color="D9D9D9"/>
              <w:right w:val="single" w:sz="4" w:color="D9D9D9"/>
            </w:tcBorders>
            <w:vAlign w:val="center"/>
          </w:tcPr>
          <w:p>
            <w:r>
              <w:rPr>
                <w:sz w:val="14"/>
              </w:rPr>
              <w:t>High-Resolution Cervical Auscultation as a Non-invasive Biomarker of Atypical Swallows from Patients at Risk of Dysphagia</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GI-0352</w:t>
            </w:r>
          </w:p>
        </w:tc>
        <w:tc>
          <w:tcPr>
            <w:tcW w:type="dxa" w:w="4896"/>
            <w:tcBorders>
              <w:top w:val="single" w:sz="4" w:color="D9D9D9"/>
              <w:left w:val="single" w:sz="4" w:color="D9D9D9"/>
              <w:bottom w:val="single" w:sz="4" w:color="D9D9D9"/>
              <w:right w:val="single" w:sz="4" w:color="D9D9D9"/>
            </w:tcBorders>
            <w:vAlign w:val="center"/>
            <w:shd w:fill="F6F8FA"/>
          </w:tcPr>
          <w:p>
            <w:r>
              <w:rPr>
                <w:sz w:val="14"/>
              </w:rPr>
              <w:t>High-resolution manometry for diagnosis of oesophageal motility disorders in children with dysphagia</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GI-0367</w:t>
            </w:r>
          </w:p>
        </w:tc>
        <w:tc>
          <w:tcPr>
            <w:tcW w:type="dxa" w:w="4896"/>
            <w:tcBorders>
              <w:top w:val="single" w:sz="4" w:color="D9D9D9"/>
              <w:left w:val="single" w:sz="4" w:color="D9D9D9"/>
              <w:bottom w:val="single" w:sz="4" w:color="D9D9D9"/>
              <w:right w:val="single" w:sz="4" w:color="D9D9D9"/>
            </w:tcBorders>
            <w:vAlign w:val="center"/>
          </w:tcPr>
          <w:p>
            <w:r>
              <w:rPr>
                <w:sz w:val="14"/>
              </w:rPr>
              <w:t>Identification of swallowing disorders in early and mid-stage Parkinson's disease using pattern recognition of pharyngeal high-resolution manometry data</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pattern-recognition analysis is confined to pharyngeal manometry in Parkinson disease without an identifiable eligible esophageal analysis.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GI-0368</w:t>
            </w:r>
          </w:p>
        </w:tc>
        <w:tc>
          <w:tcPr>
            <w:tcW w:type="dxa" w:w="4896"/>
            <w:tcBorders>
              <w:top w:val="single" w:sz="4" w:color="D9D9D9"/>
              <w:left w:val="single" w:sz="4" w:color="D9D9D9"/>
              <w:bottom w:val="single" w:sz="4" w:color="D9D9D9"/>
              <w:right w:val="single" w:sz="4" w:color="D9D9D9"/>
            </w:tcBorders>
            <w:vAlign w:val="center"/>
            <w:shd w:fill="F6F8FA"/>
          </w:tcPr>
          <w:p>
            <w:r>
              <w:rPr>
                <w:sz w:val="14"/>
              </w:rPr>
              <w:t>Identifying causative foods in adults with eosinophilic esophagitis using ex vivo food allergen stimulation of esophageal biopsies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addresses “Identifying causative foods in adults with eosinophilic esophagitis using ex vivo food allergen stimulation of esophageal biopsies” using conventional clinical, descriptive, or statistical methods, but it does not evaluate an eligible original AI/ML or comparable computational diagnostic, classification, segmentation, phenotyping, or quantitative-assessment model.</w:t>
            </w:r>
          </w:p>
        </w:tc>
      </w:tr>
      <w:tr>
        <w:tc>
          <w:tcPr>
            <w:tcW w:type="dxa" w:w="1152"/>
            <w:tcBorders>
              <w:top w:val="single" w:sz="4" w:color="D9D9D9"/>
              <w:left w:val="single" w:sz="4" w:color="D9D9D9"/>
              <w:bottom w:val="single" w:sz="4" w:color="D9D9D9"/>
              <w:right w:val="single" w:sz="4" w:color="D9D9D9"/>
            </w:tcBorders>
            <w:vAlign w:val="center"/>
          </w:tcPr>
          <w:p>
            <w:r>
              <w:rPr>
                <w:sz w:val="14"/>
              </w:rPr>
              <w:t>GI-0377</w:t>
            </w:r>
          </w:p>
        </w:tc>
        <w:tc>
          <w:tcPr>
            <w:tcW w:type="dxa" w:w="4896"/>
            <w:tcBorders>
              <w:top w:val="single" w:sz="4" w:color="D9D9D9"/>
              <w:left w:val="single" w:sz="4" w:color="D9D9D9"/>
              <w:bottom w:val="single" w:sz="4" w:color="D9D9D9"/>
              <w:right w:val="single" w:sz="4" w:color="D9D9D9"/>
            </w:tcBorders>
            <w:vAlign w:val="center"/>
          </w:tcPr>
          <w:p>
            <w:r>
              <w:rPr>
                <w:sz w:val="14"/>
              </w:rPr>
              <w:t>Including specific symptoms in clinical scoring: Predictive modelling and nursing of swallowing pain</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GI-0381</w:t>
            </w:r>
          </w:p>
        </w:tc>
        <w:tc>
          <w:tcPr>
            <w:tcW w:type="dxa" w:w="4896"/>
            <w:tcBorders>
              <w:top w:val="single" w:sz="4" w:color="D9D9D9"/>
              <w:left w:val="single" w:sz="4" w:color="D9D9D9"/>
              <w:bottom w:val="single" w:sz="4" w:color="D9D9D9"/>
              <w:right w:val="single" w:sz="4" w:color="D9D9D9"/>
            </w:tcBorders>
            <w:vAlign w:val="center"/>
            <w:shd w:fill="F6F8FA"/>
          </w:tcPr>
          <w:p>
            <w:r>
              <w:rPr>
                <w:sz w:val="14"/>
              </w:rPr>
              <w:t>Inflammatory Markers in Gastric Fluids Differentiate Patients With Eosinophilic Gastritis: Search for a Disease Screener.</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GI-0385</w:t>
            </w:r>
          </w:p>
        </w:tc>
        <w:tc>
          <w:tcPr>
            <w:tcW w:type="dxa" w:w="4896"/>
            <w:tcBorders>
              <w:top w:val="single" w:sz="4" w:color="D9D9D9"/>
              <w:left w:val="single" w:sz="4" w:color="D9D9D9"/>
              <w:bottom w:val="single" w:sz="4" w:color="D9D9D9"/>
              <w:right w:val="single" w:sz="4" w:color="D9D9D9"/>
            </w:tcBorders>
            <w:vAlign w:val="center"/>
          </w:tcPr>
          <w:p>
            <w:r>
              <w:rPr>
                <w:sz w:val="14"/>
              </w:rPr>
              <w:t>Interactions between environmental factors and polymorphisms in angiogenesis pathway genes in esophageal adenocarcinoma risk: a case-only study.</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evaluates “Interactions between environmental factors and polymorphisms in angiogenesis pathway genes in esophageal adenocarcinoma risk: a case-only study.” but is confined to a population or biological domain outside eligible human esophageal dysfunction.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GI-0386</w:t>
            </w:r>
          </w:p>
        </w:tc>
        <w:tc>
          <w:tcPr>
            <w:tcW w:type="dxa" w:w="4896"/>
            <w:tcBorders>
              <w:top w:val="single" w:sz="4" w:color="D9D9D9"/>
              <w:left w:val="single" w:sz="4" w:color="D9D9D9"/>
              <w:bottom w:val="single" w:sz="4" w:color="D9D9D9"/>
              <w:right w:val="single" w:sz="4" w:color="D9D9D9"/>
            </w:tcBorders>
            <w:vAlign w:val="center"/>
            <w:shd w:fill="F6F8FA"/>
          </w:tcPr>
          <w:p>
            <w:r>
              <w:rPr>
                <w:sz w:val="14"/>
              </w:rPr>
              <w:t>Interactions between genetic polymorphisms in the apoptotic pathway and environmental factors on esophageal adenocarcinoma risk.</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evaluates “Interactions between genetic polymorphisms in the apoptotic pathway and environmental factors on esophageal adenocarcinoma risk.” but is confined to a population or biological domain outside eligible human esophageal dysfunction.</w:t>
            </w:r>
          </w:p>
        </w:tc>
      </w:tr>
      <w:tr>
        <w:tc>
          <w:tcPr>
            <w:tcW w:type="dxa" w:w="1152"/>
            <w:tcBorders>
              <w:top w:val="single" w:sz="4" w:color="D9D9D9"/>
              <w:left w:val="single" w:sz="4" w:color="D9D9D9"/>
              <w:bottom w:val="single" w:sz="4" w:color="D9D9D9"/>
              <w:right w:val="single" w:sz="4" w:color="D9D9D9"/>
            </w:tcBorders>
            <w:vAlign w:val="center"/>
          </w:tcPr>
          <w:p>
            <w:r>
              <w:rPr>
                <w:sz w:val="14"/>
              </w:rPr>
              <w:t>GI-0387</w:t>
            </w:r>
          </w:p>
        </w:tc>
        <w:tc>
          <w:tcPr>
            <w:tcW w:type="dxa" w:w="4896"/>
            <w:tcBorders>
              <w:top w:val="single" w:sz="4" w:color="D9D9D9"/>
              <w:left w:val="single" w:sz="4" w:color="D9D9D9"/>
              <w:bottom w:val="single" w:sz="4" w:color="D9D9D9"/>
              <w:right w:val="single" w:sz="4" w:color="D9D9D9"/>
            </w:tcBorders>
            <w:vAlign w:val="center"/>
          </w:tcPr>
          <w:p>
            <w:r>
              <w:rPr>
                <w:sz w:val="14"/>
              </w:rPr>
              <w:t>Interpretable Machine Learning Enables Preoperative Physiologic Risk Stratification for Dysphagia After Anti-Reflux Surgery.</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Machine learning predicts new-onset postoperative dysphagia after anti-reflux surgery; the objective is future risk rather than current diagnosis or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GI-0389</w:t>
            </w:r>
          </w:p>
        </w:tc>
        <w:tc>
          <w:tcPr>
            <w:tcW w:type="dxa" w:w="4896"/>
            <w:tcBorders>
              <w:top w:val="single" w:sz="4" w:color="D9D9D9"/>
              <w:left w:val="single" w:sz="4" w:color="D9D9D9"/>
              <w:bottom w:val="single" w:sz="4" w:color="D9D9D9"/>
              <w:right w:val="single" w:sz="4" w:color="D9D9D9"/>
            </w:tcBorders>
            <w:vAlign w:val="center"/>
            <w:shd w:fill="F6F8FA"/>
          </w:tcPr>
          <w:p>
            <w:r>
              <w:rPr>
                <w:sz w:val="14"/>
              </w:rPr>
              <w:t>Intra- and interrater reliability of the Chicago Classification of achalasia subtypes in pediatric High Resolution Esophageal Manometry (HRM) recordings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study evaluates clinician intra- and interrater reliability using standard HRM analysis software and Chicago Classification metrics; it does not evaluate an original eligible AI/ML model.</w:t>
            </w:r>
          </w:p>
        </w:tc>
      </w:tr>
      <w:tr>
        <w:tc>
          <w:tcPr>
            <w:tcW w:type="dxa" w:w="1152"/>
            <w:tcBorders>
              <w:top w:val="single" w:sz="4" w:color="D9D9D9"/>
              <w:left w:val="single" w:sz="4" w:color="D9D9D9"/>
              <w:bottom w:val="single" w:sz="4" w:color="D9D9D9"/>
              <w:right w:val="single" w:sz="4" w:color="D9D9D9"/>
            </w:tcBorders>
            <w:vAlign w:val="center"/>
          </w:tcPr>
          <w:p>
            <w:r>
              <w:rPr>
                <w:sz w:val="14"/>
              </w:rPr>
              <w:t>GI-0406</w:t>
            </w:r>
          </w:p>
        </w:tc>
        <w:tc>
          <w:tcPr>
            <w:tcW w:type="dxa" w:w="4896"/>
            <w:tcBorders>
              <w:top w:val="single" w:sz="4" w:color="D9D9D9"/>
              <w:left w:val="single" w:sz="4" w:color="D9D9D9"/>
              <w:bottom w:val="single" w:sz="4" w:color="D9D9D9"/>
              <w:right w:val="single" w:sz="4" w:color="D9D9D9"/>
            </w:tcBorders>
            <w:vAlign w:val="center"/>
          </w:tcPr>
          <w:p>
            <w:r>
              <w:rPr>
                <w:sz w:val="14"/>
              </w:rPr>
              <w:t>Loss of peristaltic reserve determined by multiple rapid swallows (MRS) is a more frequent finding than aperistalsis or ineffective esophageal motility in patients with scleroderma</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GI-0407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Lymhphadenectomy in cancer of the oesophagus and gastrooesophageal junction (GOJ). Does it matter?</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concerns lymphadenectomy and survival in esophageal/GOJ cancer. Dysphagia is only a presenting symptom, and there is no eligible dysphagia or esophageal-dysfunction assessment.</w:t>
            </w:r>
          </w:p>
        </w:tc>
      </w:tr>
      <w:tr>
        <w:tc>
          <w:tcPr>
            <w:tcW w:type="dxa" w:w="1152"/>
            <w:tcBorders>
              <w:top w:val="single" w:sz="4" w:color="D9D9D9"/>
              <w:left w:val="single" w:sz="4" w:color="D9D9D9"/>
              <w:bottom w:val="single" w:sz="4" w:color="D9D9D9"/>
              <w:right w:val="single" w:sz="4" w:color="D9D9D9"/>
            </w:tcBorders>
            <w:vAlign w:val="center"/>
          </w:tcPr>
          <w:p>
            <w:r>
              <w:rPr>
                <w:sz w:val="14"/>
              </w:rPr>
              <w:t>GI-0409</w:t>
            </w:r>
          </w:p>
        </w:tc>
        <w:tc>
          <w:tcPr>
            <w:tcW w:type="dxa" w:w="4896"/>
            <w:tcBorders>
              <w:top w:val="single" w:sz="4" w:color="D9D9D9"/>
              <w:left w:val="single" w:sz="4" w:color="D9D9D9"/>
              <w:bottom w:val="single" w:sz="4" w:color="D9D9D9"/>
              <w:right w:val="single" w:sz="4" w:color="D9D9D9"/>
            </w:tcBorders>
            <w:vAlign w:val="center"/>
          </w:tcPr>
          <w:p>
            <w:r>
              <w:rPr>
                <w:sz w:val="14"/>
              </w:rPr>
              <w:t>Machine learning analysis with population data for the associations of preterm birth with temporomandibular disorder and gastrointestinal diseases.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GI-0428</w:t>
            </w:r>
          </w:p>
        </w:tc>
        <w:tc>
          <w:tcPr>
            <w:tcW w:type="dxa" w:w="4896"/>
            <w:tcBorders>
              <w:top w:val="single" w:sz="4" w:color="D9D9D9"/>
              <w:left w:val="single" w:sz="4" w:color="D9D9D9"/>
              <w:bottom w:val="single" w:sz="4" w:color="D9D9D9"/>
              <w:right w:val="single" w:sz="4" w:color="D9D9D9"/>
            </w:tcBorders>
            <w:vAlign w:val="center"/>
            <w:shd w:fill="F6F8FA"/>
          </w:tcPr>
          <w:p>
            <w:r>
              <w:rPr>
                <w:sz w:val="14"/>
              </w:rPr>
              <w:t>Merged smooth muscle contraction segments on esophageal high resolution manometry (HRM) suggest esophageal inhibitory dysfunction</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GI-0440</w:t>
            </w:r>
          </w:p>
        </w:tc>
        <w:tc>
          <w:tcPr>
            <w:tcW w:type="dxa" w:w="4896"/>
            <w:tcBorders>
              <w:top w:val="single" w:sz="4" w:color="D9D9D9"/>
              <w:left w:val="single" w:sz="4" w:color="D9D9D9"/>
              <w:bottom w:val="single" w:sz="4" w:color="D9D9D9"/>
              <w:right w:val="single" w:sz="4" w:color="D9D9D9"/>
            </w:tcBorders>
            <w:vAlign w:val="center"/>
          </w:tcPr>
          <w:p>
            <w:r>
              <w:rPr>
                <w:sz w:val="14"/>
              </w:rPr>
              <w:t>Multi-class segmentation of cervical vertebrae in videofluorography by use of multi-channelization and ensemble learning</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model segments cervical vertebrae in videofluorography and does not report an eligible esophageal analysis.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GI-0446</w:t>
            </w:r>
          </w:p>
        </w:tc>
        <w:tc>
          <w:tcPr>
            <w:tcW w:type="dxa" w:w="4896"/>
            <w:tcBorders>
              <w:top w:val="single" w:sz="4" w:color="D9D9D9"/>
              <w:left w:val="single" w:sz="4" w:color="D9D9D9"/>
              <w:bottom w:val="single" w:sz="4" w:color="D9D9D9"/>
              <w:right w:val="single" w:sz="4" w:color="D9D9D9"/>
            </w:tcBorders>
            <w:vAlign w:val="center"/>
            <w:shd w:fill="F6F8FA"/>
          </w:tcPr>
          <w:p>
            <w:r>
              <w:rPr>
                <w:sz w:val="14"/>
              </w:rPr>
              <w:t>New DL approach for dysphagia analysis in videofluoroscopy swallowing studies in HN cancer patients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GI-0460</w:t>
            </w:r>
          </w:p>
        </w:tc>
        <w:tc>
          <w:tcPr>
            <w:tcW w:type="dxa" w:w="4896"/>
            <w:tcBorders>
              <w:top w:val="single" w:sz="4" w:color="D9D9D9"/>
              <w:left w:val="single" w:sz="4" w:color="D9D9D9"/>
              <w:bottom w:val="single" w:sz="4" w:color="D9D9D9"/>
              <w:right w:val="single" w:sz="4" w:color="D9D9D9"/>
            </w:tcBorders>
            <w:vAlign w:val="center"/>
          </w:tcPr>
          <w:p>
            <w:r>
              <w:rPr>
                <w:sz w:val="14"/>
              </w:rPr>
              <w:t>Optimal Temporal Window Selection for 3D CNN-Based VFSS Swallowing Phase Classification</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VFSS phase-classification model addresses oropharyngeal swallowing phases without an identifiable eligible esophageal analysis.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GI-0465</w:t>
            </w:r>
          </w:p>
        </w:tc>
        <w:tc>
          <w:tcPr>
            <w:tcW w:type="dxa" w:w="4896"/>
            <w:tcBorders>
              <w:top w:val="single" w:sz="4" w:color="D9D9D9"/>
              <w:left w:val="single" w:sz="4" w:color="D9D9D9"/>
              <w:bottom w:val="single" w:sz="4" w:color="D9D9D9"/>
              <w:right w:val="single" w:sz="4" w:color="D9D9D9"/>
            </w:tcBorders>
            <w:vAlign w:val="center"/>
            <w:shd w:fill="F6F8FA"/>
          </w:tcPr>
          <w:p>
            <w:r>
              <w:rPr>
                <w:sz w:val="14"/>
              </w:rPr>
              <w:t>Out-of-hours dedicated trans-nasal endoscopy service-a model for endoscopy recovery during COVID pandemic</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addresses “Out-of-hours dedicated trans-nasal endoscopy service-a model for endoscopy recovery during COVID pandemic” using conventional clinical, descriptive, or statistical methods, but it does not evaluate an eligible original AI/ML or comparable computational diagnostic, classification, segmentation, phenotyping, or quantitative-assessment model.</w:t>
            </w:r>
          </w:p>
        </w:tc>
      </w:tr>
      <w:tr>
        <w:tc>
          <w:tcPr>
            <w:tcW w:type="dxa" w:w="1152"/>
            <w:tcBorders>
              <w:top w:val="single" w:sz="4" w:color="D9D9D9"/>
              <w:left w:val="single" w:sz="4" w:color="D9D9D9"/>
              <w:bottom w:val="single" w:sz="4" w:color="D9D9D9"/>
              <w:right w:val="single" w:sz="4" w:color="D9D9D9"/>
            </w:tcBorders>
            <w:vAlign w:val="center"/>
          </w:tcPr>
          <w:p>
            <w:r>
              <w:rPr>
                <w:sz w:val="14"/>
              </w:rPr>
              <w:t>GI-0469</w:t>
            </w:r>
          </w:p>
        </w:tc>
        <w:tc>
          <w:tcPr>
            <w:tcW w:type="dxa" w:w="4896"/>
            <w:tcBorders>
              <w:top w:val="single" w:sz="4" w:color="D9D9D9"/>
              <w:left w:val="single" w:sz="4" w:color="D9D9D9"/>
              <w:bottom w:val="single" w:sz="4" w:color="D9D9D9"/>
              <w:right w:val="single" w:sz="4" w:color="D9D9D9"/>
            </w:tcBorders>
            <w:vAlign w:val="center"/>
          </w:tcPr>
          <w:p>
            <w:r>
              <w:rPr>
                <w:sz w:val="14"/>
              </w:rPr>
              <w:t>Parallel deep neural networks for endoscopic OCT image segmentation.</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segmentation experiments use guinea-pig esophagus and an animal eosinophilic-esophagitis model without an eligible human analysis.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GI-0470</w:t>
            </w:r>
          </w:p>
        </w:tc>
        <w:tc>
          <w:tcPr>
            <w:tcW w:type="dxa" w:w="4896"/>
            <w:tcBorders>
              <w:top w:val="single" w:sz="4" w:color="D9D9D9"/>
              <w:left w:val="single" w:sz="4" w:color="D9D9D9"/>
              <w:bottom w:val="single" w:sz="4" w:color="D9D9D9"/>
              <w:right w:val="single" w:sz="4" w:color="D9D9D9"/>
            </w:tcBorders>
            <w:vAlign w:val="center"/>
            <w:shd w:fill="F6F8FA"/>
          </w:tcPr>
          <w:p>
            <w:r>
              <w:rPr>
                <w:sz w:val="14"/>
              </w:rPr>
              <w:t>Patients undergoing esophagogastroduodenoscopy for anemia and dysphagia found to have occult barrett's esophagus may have higher risk of dysplasia</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evaluates Barrett’s esophagus and dysplasia using a conventional database query and chart review. It reports no AI, machine-learning or comparable computational diagnostic model.</w:t>
            </w:r>
          </w:p>
        </w:tc>
      </w:tr>
      <w:tr>
        <w:tc>
          <w:tcPr>
            <w:tcW w:type="dxa" w:w="1152"/>
            <w:tcBorders>
              <w:top w:val="single" w:sz="4" w:color="D9D9D9"/>
              <w:left w:val="single" w:sz="4" w:color="D9D9D9"/>
              <w:bottom w:val="single" w:sz="4" w:color="D9D9D9"/>
              <w:right w:val="single" w:sz="4" w:color="D9D9D9"/>
            </w:tcBorders>
            <w:vAlign w:val="center"/>
          </w:tcPr>
          <w:p>
            <w:r>
              <w:rPr>
                <w:sz w:val="14"/>
              </w:rPr>
              <w:t>GI-0471</w:t>
            </w:r>
          </w:p>
        </w:tc>
        <w:tc>
          <w:tcPr>
            <w:tcW w:type="dxa" w:w="4896"/>
            <w:tcBorders>
              <w:top w:val="single" w:sz="4" w:color="D9D9D9"/>
              <w:left w:val="single" w:sz="4" w:color="D9D9D9"/>
              <w:bottom w:val="single" w:sz="4" w:color="D9D9D9"/>
              <w:right w:val="single" w:sz="4" w:color="D9D9D9"/>
            </w:tcBorders>
            <w:vAlign w:val="center"/>
          </w:tcPr>
          <w:p>
            <w:r>
              <w:rPr>
                <w:sz w:val="14"/>
              </w:rPr>
              <w:t>PCR217 Diagnosing Preferences to Facilitate Shared Decision-Making: Development of a Novel Preference-Based Decision Support Tool for Adult Patients with Eosinophilic Esophagitis</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GI-0477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Persistent body-weight change on achalasia and peroral endoscopic myotomy: a multicenter cohort study.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addresses “Persistent body-weight change on achalasia and peroral endoscopic myotomy: a multicenter cohort study.” using conventional clinical, descriptive, or statistical methods, but it does not evaluate an eligible original AI/ML or comparable computational diagnostic, classification, segmentation, phenotyping, or quantitative-assessment model.</w:t>
            </w:r>
          </w:p>
        </w:tc>
      </w:tr>
      <w:tr>
        <w:tc>
          <w:tcPr>
            <w:tcW w:type="dxa" w:w="1152"/>
            <w:tcBorders>
              <w:top w:val="single" w:sz="4" w:color="D9D9D9"/>
              <w:left w:val="single" w:sz="4" w:color="D9D9D9"/>
              <w:bottom w:val="single" w:sz="4" w:color="D9D9D9"/>
              <w:right w:val="single" w:sz="4" w:color="D9D9D9"/>
            </w:tcBorders>
            <w:vAlign w:val="center"/>
          </w:tcPr>
          <w:p>
            <w:r>
              <w:rPr>
                <w:sz w:val="14"/>
              </w:rPr>
              <w:t>GI-0480</w:t>
            </w:r>
          </w:p>
        </w:tc>
        <w:tc>
          <w:tcPr>
            <w:tcW w:type="dxa" w:w="4896"/>
            <w:tcBorders>
              <w:top w:val="single" w:sz="4" w:color="D9D9D9"/>
              <w:left w:val="single" w:sz="4" w:color="D9D9D9"/>
              <w:bottom w:val="single" w:sz="4" w:color="D9D9D9"/>
              <w:right w:val="single" w:sz="4" w:color="D9D9D9"/>
            </w:tcBorders>
            <w:vAlign w:val="center"/>
          </w:tcPr>
          <w:p>
            <w:r>
              <w:rPr>
                <w:sz w:val="14"/>
              </w:rPr>
              <w:t>Physiological and Psychological Factors Contribute to Real-Time Esophageal Symptom Reporting in Patients With Refractory Reflux.</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addresses “Physiological and Psychological Factors Contribute to Real-Time Esophageal Symptom Reporting in Patients With Refractory Reflux.” using conventional clinical, descriptive, or statistical methods, but it does not evaluate an eligible original AI/ML or comparable computational diagnostic, classification, segmentation, phenotyping, or quantitative-assessment model.</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GI-0487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Predictive Artificial Intelligence Analysis of Determinants of Health Outcomes in Hospitalized Patients with Eosinophilic Esophagitis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tcPr>
          <w:p>
            <w:r>
              <w:rPr>
                <w:sz w:val="14"/>
              </w:rPr>
              <w:t>GI-0488</w:t>
            </w:r>
          </w:p>
        </w:tc>
        <w:tc>
          <w:tcPr>
            <w:tcW w:type="dxa" w:w="4896"/>
            <w:tcBorders>
              <w:top w:val="single" w:sz="4" w:color="D9D9D9"/>
              <w:left w:val="single" w:sz="4" w:color="D9D9D9"/>
              <w:bottom w:val="single" w:sz="4" w:color="D9D9D9"/>
              <w:right w:val="single" w:sz="4" w:color="D9D9D9"/>
            </w:tcBorders>
            <w:vAlign w:val="center"/>
          </w:tcPr>
          <w:p>
            <w:r>
              <w:rPr>
                <w:sz w:val="14"/>
              </w:rPr>
              <w:t>Predictors of cough resolution following endoscopic minimally invasive treatment in patients with GERD and chronic cough: a retrospective study.</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GI-0492</w:t>
            </w:r>
          </w:p>
        </w:tc>
        <w:tc>
          <w:tcPr>
            <w:tcW w:type="dxa" w:w="4896"/>
            <w:tcBorders>
              <w:top w:val="single" w:sz="4" w:color="D9D9D9"/>
              <w:left w:val="single" w:sz="4" w:color="D9D9D9"/>
              <w:bottom w:val="single" w:sz="4" w:color="D9D9D9"/>
              <w:right w:val="single" w:sz="4" w:color="D9D9D9"/>
            </w:tcBorders>
            <w:vAlign w:val="center"/>
            <w:shd w:fill="F6F8FA"/>
          </w:tcPr>
          <w:p>
            <w:r>
              <w:rPr>
                <w:sz w:val="14"/>
              </w:rPr>
              <w:t>Primary Enteric Neuropathies Underlying Gastrointestinal Motor Dysfunction.</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tcPr>
          <w:p>
            <w:r>
              <w:rPr>
                <w:sz w:val="14"/>
              </w:rPr>
              <w:t>GI-0495</w:t>
            </w:r>
          </w:p>
        </w:tc>
        <w:tc>
          <w:tcPr>
            <w:tcW w:type="dxa" w:w="4896"/>
            <w:tcBorders>
              <w:top w:val="single" w:sz="4" w:color="D9D9D9"/>
              <w:left w:val="single" w:sz="4" w:color="D9D9D9"/>
              <w:bottom w:val="single" w:sz="4" w:color="D9D9D9"/>
              <w:right w:val="single" w:sz="4" w:color="D9D9D9"/>
            </w:tcBorders>
            <w:vAlign w:val="center"/>
          </w:tcPr>
          <w:p>
            <w:r>
              <w:rPr>
                <w:sz w:val="14"/>
              </w:rPr>
              <w:t>Prospective Evaluation of Abelchia/RCPD Patients: Abnormalities in High-Resolution Esophageal Manometry.</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Although computation is mentioned, the report does not establish an eligible original AI/ML diagnostic, classification, segmentation, phenotyping, or quantitative-assessment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GI-0499</w:t>
            </w:r>
          </w:p>
        </w:tc>
        <w:tc>
          <w:tcPr>
            <w:tcW w:type="dxa" w:w="4896"/>
            <w:tcBorders>
              <w:top w:val="single" w:sz="4" w:color="D9D9D9"/>
              <w:left w:val="single" w:sz="4" w:color="D9D9D9"/>
              <w:bottom w:val="single" w:sz="4" w:color="D9D9D9"/>
              <w:right w:val="single" w:sz="4" w:color="D9D9D9"/>
            </w:tcBorders>
            <w:vAlign w:val="center"/>
            <w:shd w:fill="F6F8FA"/>
          </w:tcPr>
          <w:p>
            <w:r>
              <w:rPr>
                <w:sz w:val="14"/>
              </w:rPr>
              <w:t>Psychological symptoms do not discriminate between reflux phenotypes along the organic-functional refractory GERD spectrum.</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study compares psychological symptoms across reflux phenotypes using conventional statistical models, without an eligible AI/ML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GI-0500</w:t>
            </w:r>
          </w:p>
        </w:tc>
        <w:tc>
          <w:tcPr>
            <w:tcW w:type="dxa" w:w="4896"/>
            <w:tcBorders>
              <w:top w:val="single" w:sz="4" w:color="D9D9D9"/>
              <w:left w:val="single" w:sz="4" w:color="D9D9D9"/>
              <w:bottom w:val="single" w:sz="4" w:color="D9D9D9"/>
              <w:right w:val="single" w:sz="4" w:color="D9D9D9"/>
            </w:tcBorders>
            <w:vAlign w:val="center"/>
          </w:tcPr>
          <w:p>
            <w:r>
              <w:rPr>
                <w:sz w:val="14"/>
              </w:rPr>
              <w:t>PUBLICATION TRENDS IN GASTROENTEROLOGY AND HEPATOLOGY OVER THE PAST 40 YEARS: AN ARTIFICIAL INTELLIGENCE ANALYSIS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GI-0504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Radiotherapy (RT) Patterns Of Practice Variability Identified As A Challenge To Real-World Big Data: Recommendations From The Learning From Analysis Of Multicenter Big Data Aggregation (LAMBDA) Consortium</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GI-0511</w:t>
            </w:r>
          </w:p>
        </w:tc>
        <w:tc>
          <w:tcPr>
            <w:tcW w:type="dxa" w:w="4896"/>
            <w:tcBorders>
              <w:top w:val="single" w:sz="4" w:color="D9D9D9"/>
              <w:left w:val="single" w:sz="4" w:color="D9D9D9"/>
              <w:bottom w:val="single" w:sz="4" w:color="D9D9D9"/>
              <w:right w:val="single" w:sz="4" w:color="D9D9D9"/>
            </w:tcBorders>
            <w:vAlign w:val="center"/>
          </w:tcPr>
          <w:p>
            <w:r>
              <w:rPr>
                <w:sz w:val="14"/>
              </w:rPr>
              <w:t>Reflections on surgery for hiatal hernia.</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GI-0527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Robot-assisted pediatric surgery: how far can we go?</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GI-0551</w:t>
            </w:r>
          </w:p>
        </w:tc>
        <w:tc>
          <w:tcPr>
            <w:tcW w:type="dxa" w:w="4896"/>
            <w:tcBorders>
              <w:top w:val="single" w:sz="4" w:color="D9D9D9"/>
              <w:left w:val="single" w:sz="4" w:color="D9D9D9"/>
              <w:bottom w:val="single" w:sz="4" w:color="D9D9D9"/>
              <w:right w:val="single" w:sz="4" w:color="D9D9D9"/>
            </w:tcBorders>
            <w:vAlign w:val="center"/>
          </w:tcPr>
          <w:p>
            <w:r>
              <w:rPr>
                <w:sz w:val="14"/>
              </w:rPr>
              <w:t>Saccharin Aggravates Eosinophilic Esophagitis via MAPK3 Interaction: A Network Toxicology and Machine Learning Study With SPR Analysis.</w:t>
            </w:r>
          </w:p>
        </w:tc>
        <w:tc>
          <w:tcPr>
            <w:tcW w:type="dxa" w:w="1008"/>
            <w:tcBorders>
              <w:top w:val="single" w:sz="4" w:color="D9D9D9"/>
              <w:left w:val="single" w:sz="4" w:color="D9D9D9"/>
              <w:bottom w:val="single" w:sz="4" w:color="D9D9D9"/>
              <w:right w:val="single" w:sz="4" w:color="D9D9D9"/>
            </w:tcBorders>
            <w:vAlign w:val="center"/>
          </w:tcPr>
          <w:p>
            <w:r>
              <w:rPr>
                <w:sz w:val="14"/>
              </w:rPr>
              <w:t>FT3</w:t>
            </w:r>
          </w:p>
        </w:tc>
        <w:tc>
          <w:tcPr>
            <w:tcW w:type="dxa" w:w="3168"/>
            <w:tcBorders>
              <w:top w:val="single" w:sz="4" w:color="D9D9D9"/>
              <w:left w:val="single" w:sz="4" w:color="D9D9D9"/>
              <w:bottom w:val="single" w:sz="4" w:color="D9D9D9"/>
              <w:right w:val="single" w:sz="4" w:color="D9D9D9"/>
            </w:tcBorders>
            <w:vAlign w:val="center"/>
          </w:tcPr>
          <w:p>
            <w:r>
              <w:rPr>
                <w:sz w:val="14"/>
              </w:rPr>
              <w:t>The computational analysis is limited to prognosis, treatment response, future risk, outcomes, or another objective outside eligible diagnosis/classification/segmentation/quantitative assessment.</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GI-0554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Sarcopenia-a prognostic biomarker for definitive chemoradiotherapy in oesophageal cancer patients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GI-0560</w:t>
            </w:r>
          </w:p>
        </w:tc>
        <w:tc>
          <w:tcPr>
            <w:tcW w:type="dxa" w:w="4896"/>
            <w:tcBorders>
              <w:top w:val="single" w:sz="4" w:color="D9D9D9"/>
              <w:left w:val="single" w:sz="4" w:color="D9D9D9"/>
              <w:bottom w:val="single" w:sz="4" w:color="D9D9D9"/>
              <w:right w:val="single" w:sz="4" w:color="D9D9D9"/>
            </w:tcBorders>
            <w:vAlign w:val="center"/>
          </w:tcPr>
          <w:p>
            <w:r>
              <w:rPr>
                <w:sz w:val="14"/>
              </w:rPr>
              <w:t>Sparse Machine Learning Discovery of Dynamic Differential Equation of an Esophageal Swallowing Robot.</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GI-0561</w:t>
            </w:r>
          </w:p>
        </w:tc>
        <w:tc>
          <w:tcPr>
            <w:tcW w:type="dxa" w:w="4896"/>
            <w:tcBorders>
              <w:top w:val="single" w:sz="4" w:color="D9D9D9"/>
              <w:left w:val="single" w:sz="4" w:color="D9D9D9"/>
              <w:bottom w:val="single" w:sz="4" w:color="D9D9D9"/>
              <w:right w:val="single" w:sz="4" w:color="D9D9D9"/>
            </w:tcBorders>
            <w:vAlign w:val="center"/>
            <w:shd w:fill="F6F8FA"/>
          </w:tcPr>
          <w:p>
            <w:r>
              <w:rPr>
                <w:sz w:val="14"/>
              </w:rPr>
              <w:t>Spatial dose signature in lung or head and neck radiation induced morbidity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GI-0563</w:t>
            </w:r>
          </w:p>
        </w:tc>
        <w:tc>
          <w:tcPr>
            <w:tcW w:type="dxa" w:w="4896"/>
            <w:tcBorders>
              <w:top w:val="single" w:sz="4" w:color="D9D9D9"/>
              <w:left w:val="single" w:sz="4" w:color="D9D9D9"/>
              <w:bottom w:val="single" w:sz="4" w:color="D9D9D9"/>
              <w:right w:val="single" w:sz="4" w:color="D9D9D9"/>
            </w:tcBorders>
            <w:vAlign w:val="center"/>
          </w:tcPr>
          <w:p>
            <w:r>
              <w:rPr>
                <w:sz w:val="14"/>
              </w:rPr>
              <w:t>Stranger Complications of Upper Gastrointestinal Surgeries</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addresses “Stranger Complications of Upper Gastrointestinal Surgeries” using conventional clinical, descriptive, or statistical methods, but it does not evaluate an eligible original AI/ML or comparable computational diagnostic, classification, segmentation, phenotyping, or quantitative-assessment model.</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GI-0583</w:t>
            </w:r>
          </w:p>
        </w:tc>
        <w:tc>
          <w:tcPr>
            <w:tcW w:type="dxa" w:w="4896"/>
            <w:tcBorders>
              <w:top w:val="single" w:sz="4" w:color="D9D9D9"/>
              <w:left w:val="single" w:sz="4" w:color="D9D9D9"/>
              <w:bottom w:val="single" w:sz="4" w:color="D9D9D9"/>
              <w:right w:val="single" w:sz="4" w:color="D9D9D9"/>
            </w:tcBorders>
            <w:vAlign w:val="center"/>
            <w:shd w:fill="F6F8FA"/>
          </w:tcPr>
          <w:p>
            <w:r>
              <w:rPr>
                <w:sz w:val="14"/>
              </w:rPr>
              <w:t>The Chicago Classification of esophageal motility disorders, v3.0</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tcPr>
          <w:p>
            <w:r>
              <w:rPr>
                <w:sz w:val="14"/>
              </w:rPr>
              <w:t>GI-0592</w:t>
            </w:r>
          </w:p>
        </w:tc>
        <w:tc>
          <w:tcPr>
            <w:tcW w:type="dxa" w:w="4896"/>
            <w:tcBorders>
              <w:top w:val="single" w:sz="4" w:color="D9D9D9"/>
              <w:left w:val="single" w:sz="4" w:color="D9D9D9"/>
              <w:bottom w:val="single" w:sz="4" w:color="D9D9D9"/>
              <w:right w:val="single" w:sz="4" w:color="D9D9D9"/>
            </w:tcBorders>
            <w:vAlign w:val="center"/>
          </w:tcPr>
          <w:p>
            <w:r>
              <w:rPr>
                <w:sz w:val="14"/>
              </w:rPr>
              <w:t>The neural regulation of the mammalian esophageal motility and its implication for esophageal diseases.</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GI-0594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The performance of artificial intelligence large language model-linked chatbots in surgical decision-making for gastroesophageal reflux disease.</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study evaluates whether LLM chatbots reproduce guideline recommendations for surgical management of GERD. It addresses treatment recommendations rather than diagnosis, detection, classification, phenotyping or diagnostic assessment.</w:t>
            </w:r>
          </w:p>
        </w:tc>
      </w:tr>
      <w:tr>
        <w:tc>
          <w:tcPr>
            <w:tcW w:type="dxa" w:w="1152"/>
            <w:tcBorders>
              <w:top w:val="single" w:sz="4" w:color="D9D9D9"/>
              <w:left w:val="single" w:sz="4" w:color="D9D9D9"/>
              <w:bottom w:val="single" w:sz="4" w:color="D9D9D9"/>
              <w:right w:val="single" w:sz="4" w:color="D9D9D9"/>
            </w:tcBorders>
            <w:vAlign w:val="center"/>
          </w:tcPr>
          <w:p>
            <w:r>
              <w:rPr>
                <w:sz w:val="14"/>
              </w:rPr>
              <w:t>GI-0596</w:t>
            </w:r>
          </w:p>
        </w:tc>
        <w:tc>
          <w:tcPr>
            <w:tcW w:type="dxa" w:w="4896"/>
            <w:tcBorders>
              <w:top w:val="single" w:sz="4" w:color="D9D9D9"/>
              <w:left w:val="single" w:sz="4" w:color="D9D9D9"/>
              <w:bottom w:val="single" w:sz="4" w:color="D9D9D9"/>
              <w:right w:val="single" w:sz="4" w:color="D9D9D9"/>
            </w:tcBorders>
            <w:vAlign w:val="center"/>
          </w:tcPr>
          <w:p>
            <w:r>
              <w:rPr>
                <w:sz w:val="14"/>
              </w:rPr>
              <w:t>The Promise and Challenges of CAD‐Assisted Diagnosis in Achalasia.</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is a review, overview, guideline, or other non-original evidence type rather than an original results-bearing empirical study.</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GI-0604</w:t>
            </w:r>
          </w:p>
        </w:tc>
        <w:tc>
          <w:tcPr>
            <w:tcW w:type="dxa" w:w="4896"/>
            <w:tcBorders>
              <w:top w:val="single" w:sz="4" w:color="D9D9D9"/>
              <w:left w:val="single" w:sz="4" w:color="D9D9D9"/>
              <w:bottom w:val="single" w:sz="4" w:color="D9D9D9"/>
              <w:right w:val="single" w:sz="4" w:color="D9D9D9"/>
            </w:tcBorders>
            <w:vAlign w:val="center"/>
            <w:shd w:fill="F6F8FA"/>
          </w:tcPr>
          <w:p>
            <w:r>
              <w:rPr>
                <w:sz w:val="14"/>
              </w:rPr>
              <w:t>The utility of artificial intelligence in visualization of pediatric gastrointestinal mucosa.</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exact report “The utility of artificial intelligence in visualization of pediatric gastrointestinal mucosa.” is a review, chapter, guideline, commentary, or other non-results evidence type and does not report an eligible original empirical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GI-0607</w:t>
            </w:r>
          </w:p>
        </w:tc>
        <w:tc>
          <w:tcPr>
            <w:tcW w:type="dxa" w:w="4896"/>
            <w:tcBorders>
              <w:top w:val="single" w:sz="4" w:color="D9D9D9"/>
              <w:left w:val="single" w:sz="4" w:color="D9D9D9"/>
              <w:bottom w:val="single" w:sz="4" w:color="D9D9D9"/>
              <w:right w:val="single" w:sz="4" w:color="D9D9D9"/>
            </w:tcBorders>
            <w:vAlign w:val="center"/>
          </w:tcPr>
          <w:p>
            <w:r>
              <w:rPr>
                <w:sz w:val="14"/>
              </w:rPr>
              <w:t>Three-dimensional analysis of pharyngeal high-resolution manometry data.</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GI-0609</w:t>
            </w:r>
          </w:p>
        </w:tc>
        <w:tc>
          <w:tcPr>
            <w:tcW w:type="dxa" w:w="4896"/>
            <w:tcBorders>
              <w:top w:val="single" w:sz="4" w:color="D9D9D9"/>
              <w:left w:val="single" w:sz="4" w:color="D9D9D9"/>
              <w:bottom w:val="single" w:sz="4" w:color="D9D9D9"/>
              <w:right w:val="single" w:sz="4" w:color="D9D9D9"/>
            </w:tcBorders>
            <w:vAlign w:val="center"/>
            <w:shd w:fill="F6F8FA"/>
          </w:tcPr>
          <w:p>
            <w:r>
              <w:rPr>
                <w:sz w:val="14"/>
              </w:rPr>
              <w:t>TIMED BARIUM ESOPHAGRAM FEATURES ASSOCIATED WITH HIGH-RESOLUTION MANOMETRY ESOPHAGEAL MOTILITY DISORDERS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FT2</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tcPr>
          <w:p>
            <w:r>
              <w:rPr>
                <w:sz w:val="14"/>
              </w:rPr>
              <w:t>GI-0613</w:t>
            </w:r>
          </w:p>
        </w:tc>
        <w:tc>
          <w:tcPr>
            <w:tcW w:type="dxa" w:w="4896"/>
            <w:tcBorders>
              <w:top w:val="single" w:sz="4" w:color="D9D9D9"/>
              <w:left w:val="single" w:sz="4" w:color="D9D9D9"/>
              <w:bottom w:val="single" w:sz="4" w:color="D9D9D9"/>
              <w:right w:val="single" w:sz="4" w:color="D9D9D9"/>
            </w:tcBorders>
            <w:vAlign w:val="center"/>
          </w:tcPr>
          <w:p>
            <w:r>
              <w:rPr>
                <w:sz w:val="14"/>
              </w:rPr>
              <w:t>Towards a neuro-symbolic approach for precision anti-reflux surgery.</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The article reviews existing AI applications and proposes a future neuro-symbolic Answer Set Programming framework for anti-reflux surgery. It does not report an original evaluated model, patient cohort, or empirical performance results.</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GI-0616</w:t>
            </w:r>
          </w:p>
        </w:tc>
        <w:tc>
          <w:tcPr>
            <w:tcW w:type="dxa" w:w="4896"/>
            <w:tcBorders>
              <w:top w:val="single" w:sz="4" w:color="D9D9D9"/>
              <w:left w:val="single" w:sz="4" w:color="D9D9D9"/>
              <w:bottom w:val="single" w:sz="4" w:color="D9D9D9"/>
              <w:right w:val="single" w:sz="4" w:color="D9D9D9"/>
            </w:tcBorders>
            <w:vAlign w:val="center"/>
            <w:shd w:fill="F6F8FA"/>
          </w:tcPr>
          <w:p>
            <w:r>
              <w:rPr>
                <w:sz w:val="14"/>
              </w:rPr>
              <w:t>Transformer-based InsightGWAS improves GERD genetic discovery via pretraining on GWAS for major depressive disorder.</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Transformer model prioritizes GERD-associated genetic variants and discovers candidate loci from GWAS summary statistics. The frozen concept explicitly excludes nonspecific biomarker discovery without an eligible diagnostic evaluation.</w:t>
            </w:r>
          </w:p>
        </w:tc>
      </w:tr>
      <w:tr>
        <w:tc>
          <w:tcPr>
            <w:tcW w:type="dxa" w:w="1152"/>
            <w:tcBorders>
              <w:top w:val="single" w:sz="4" w:color="D9D9D9"/>
              <w:left w:val="single" w:sz="4" w:color="D9D9D9"/>
              <w:bottom w:val="single" w:sz="4" w:color="D9D9D9"/>
              <w:right w:val="single" w:sz="4" w:color="D9D9D9"/>
            </w:tcBorders>
            <w:vAlign w:val="center"/>
          </w:tcPr>
          <w:p>
            <w:r>
              <w:rPr>
                <w:sz w:val="14"/>
              </w:rPr>
              <w:t>GI-0619</w:t>
            </w:r>
          </w:p>
        </w:tc>
        <w:tc>
          <w:tcPr>
            <w:tcW w:type="dxa" w:w="4896"/>
            <w:tcBorders>
              <w:top w:val="single" w:sz="4" w:color="D9D9D9"/>
              <w:left w:val="single" w:sz="4" w:color="D9D9D9"/>
              <w:bottom w:val="single" w:sz="4" w:color="D9D9D9"/>
              <w:right w:val="single" w:sz="4" w:color="D9D9D9"/>
            </w:tcBorders>
            <w:vAlign w:val="center"/>
          </w:tcPr>
          <w:p>
            <w:r>
              <w:rPr>
                <w:sz w:val="14"/>
              </w:rPr>
              <w:t>Two-Year Results of Sleeve Gastrectomy Combined with Posterior Fundoplication for Obesity Patients with Gastroesophageal Reflux Disease.</w:t>
            </w:r>
          </w:p>
        </w:tc>
        <w:tc>
          <w:tcPr>
            <w:tcW w:type="dxa" w:w="1008"/>
            <w:tcBorders>
              <w:top w:val="single" w:sz="4" w:color="D9D9D9"/>
              <w:left w:val="single" w:sz="4" w:color="D9D9D9"/>
              <w:bottom w:val="single" w:sz="4" w:color="D9D9D9"/>
              <w:right w:val="single" w:sz="4" w:color="D9D9D9"/>
            </w:tcBorders>
            <w:vAlign w:val="center"/>
          </w:tcPr>
          <w:p>
            <w:r>
              <w:rPr>
                <w:sz w:val="14"/>
              </w:rPr>
              <w:t>FT2</w:t>
            </w:r>
          </w:p>
        </w:tc>
        <w:tc>
          <w:tcPr>
            <w:tcW w:type="dxa" w:w="3168"/>
            <w:tcBorders>
              <w:top w:val="single" w:sz="4" w:color="D9D9D9"/>
              <w:left w:val="single" w:sz="4" w:color="D9D9D9"/>
              <w:bottom w:val="single" w:sz="4" w:color="D9D9D9"/>
              <w:right w:val="single" w:sz="4" w:color="D9D9D9"/>
            </w:tcBorders>
            <w:vAlign w:val="center"/>
          </w:tcPr>
          <w:p>
            <w:r>
              <w:rPr>
                <w:sz w:val="14"/>
              </w:rPr>
              <w:t>The report concerns an eligible esophageal condition but does not evaluate an original eligible AI/ML or comparable computational diagnostic/classification/segmentation application.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GI-0622</w:t>
            </w:r>
          </w:p>
        </w:tc>
        <w:tc>
          <w:tcPr>
            <w:tcW w:type="dxa" w:w="4896"/>
            <w:tcBorders>
              <w:top w:val="single" w:sz="4" w:color="D9D9D9"/>
              <w:left w:val="single" w:sz="4" w:color="D9D9D9"/>
              <w:bottom w:val="single" w:sz="4" w:color="D9D9D9"/>
              <w:right w:val="single" w:sz="4" w:color="D9D9D9"/>
            </w:tcBorders>
            <w:vAlign w:val="center"/>
            <w:shd w:fill="F6F8FA"/>
          </w:tcPr>
          <w:p>
            <w:r>
              <w:rPr>
                <w:sz w:val="14"/>
              </w:rPr>
              <w:t>Understanding tissue injury and remodelling in eosinophilic oesophagitis: development towards personalised medicine.</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This is a narrative recent-advances review of EoE tissue injury/remodelling and precision medicine rather than an original results-bearing empirical AI study.</w:t>
            </w:r>
          </w:p>
        </w:tc>
      </w:tr>
      <w:tr>
        <w:tc>
          <w:tcPr>
            <w:tcW w:type="dxa" w:w="1152"/>
            <w:tcBorders>
              <w:top w:val="single" w:sz="4" w:color="D9D9D9"/>
              <w:left w:val="single" w:sz="4" w:color="D9D9D9"/>
              <w:bottom w:val="single" w:sz="4" w:color="D9D9D9"/>
              <w:right w:val="single" w:sz="4" w:color="D9D9D9"/>
            </w:tcBorders>
            <w:vAlign w:val="center"/>
          </w:tcPr>
          <w:p>
            <w:r>
              <w:rPr>
                <w:sz w:val="14"/>
              </w:rPr>
              <w:t>GI-0627</w:t>
            </w:r>
          </w:p>
        </w:tc>
        <w:tc>
          <w:tcPr>
            <w:tcW w:type="dxa" w:w="4896"/>
            <w:tcBorders>
              <w:top w:val="single" w:sz="4" w:color="D9D9D9"/>
              <w:left w:val="single" w:sz="4" w:color="D9D9D9"/>
              <w:bottom w:val="single" w:sz="4" w:color="D9D9D9"/>
              <w:right w:val="single" w:sz="4" w:color="D9D9D9"/>
            </w:tcBorders>
            <w:vAlign w:val="center"/>
          </w:tcPr>
          <w:p>
            <w:r>
              <w:rPr>
                <w:sz w:val="14"/>
              </w:rPr>
              <w:t>Use of Body Mass Index in Prediction of Interstitial Lung Disease Related to Systemic Sclerosis Revealed by Decision Trees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GI-0628</w:t>
            </w:r>
          </w:p>
        </w:tc>
        <w:tc>
          <w:tcPr>
            <w:tcW w:type="dxa" w:w="4896"/>
            <w:tcBorders>
              <w:top w:val="single" w:sz="4" w:color="D9D9D9"/>
              <w:left w:val="single" w:sz="4" w:color="D9D9D9"/>
              <w:bottom w:val="single" w:sz="4" w:color="D9D9D9"/>
              <w:right w:val="single" w:sz="4" w:color="D9D9D9"/>
            </w:tcBorders>
            <w:vAlign w:val="center"/>
            <w:shd w:fill="F6F8FA"/>
          </w:tcPr>
          <w:p>
            <w:r>
              <w:rPr>
                <w:sz w:val="14"/>
              </w:rPr>
              <w:t>Use of Large Language Model (LLM) Chatbots for the Generation of Specialized Gastrointestinal Diet Meal Plans: A Pilot Study</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FT3</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study compares LLM-generated specialized gastrointestinal meal plans with dietitian plans. Although an eosinophilic-esophagitis diet is among the scenarios, the objective is dietary counseling and meal-plan generation, not esophageal diagnosis, classification, phenotyping, segmentation, or quantitative assessment.</w:t>
            </w:r>
          </w:p>
        </w:tc>
      </w:tr>
      <w:tr>
        <w:tc>
          <w:tcPr>
            <w:tcW w:type="dxa" w:w="1152"/>
            <w:tcBorders>
              <w:top w:val="single" w:sz="4" w:color="D9D9D9"/>
              <w:left w:val="single" w:sz="4" w:color="D9D9D9"/>
              <w:bottom w:val="single" w:sz="4" w:color="D9D9D9"/>
              <w:right w:val="single" w:sz="4" w:color="D9D9D9"/>
            </w:tcBorders>
            <w:vAlign w:val="center"/>
          </w:tcPr>
          <w:p>
            <w:r>
              <w:rPr>
                <w:sz w:val="14"/>
              </w:rPr>
              <w:t>GI-0640</w:t>
            </w:r>
          </w:p>
        </w:tc>
        <w:tc>
          <w:tcPr>
            <w:tcW w:type="dxa" w:w="4896"/>
            <w:tcBorders>
              <w:top w:val="single" w:sz="4" w:color="D9D9D9"/>
              <w:left w:val="single" w:sz="4" w:color="D9D9D9"/>
              <w:bottom w:val="single" w:sz="4" w:color="D9D9D9"/>
              <w:right w:val="single" w:sz="4" w:color="D9D9D9"/>
            </w:tcBorders>
            <w:vAlign w:val="center"/>
          </w:tcPr>
          <w:p>
            <w:r>
              <w:rPr>
                <w:sz w:val="14"/>
              </w:rPr>
              <w:t>Videographic-Free Tracking of Hyoid Bone Displacement during Swallowing Using Accelerometer Signals and Transformers</w:t>
            </w:r>
          </w:p>
        </w:tc>
        <w:tc>
          <w:tcPr>
            <w:tcW w:type="dxa" w:w="1008"/>
            <w:tcBorders>
              <w:top w:val="single" w:sz="4" w:color="D9D9D9"/>
              <w:left w:val="single" w:sz="4" w:color="D9D9D9"/>
              <w:bottom w:val="single" w:sz="4" w:color="D9D9D9"/>
              <w:right w:val="single" w:sz="4" w:color="D9D9D9"/>
            </w:tcBorders>
            <w:vAlign w:val="center"/>
          </w:tcPr>
          <w:p>
            <w:r>
              <w:rPr>
                <w:sz w:val="14"/>
              </w:rPr>
              <w:t>FT1</w:t>
            </w:r>
          </w:p>
        </w:tc>
        <w:tc>
          <w:tcPr>
            <w:tcW w:type="dxa" w:w="3168"/>
            <w:tcBorders>
              <w:top w:val="single" w:sz="4" w:color="D9D9D9"/>
              <w:left w:val="single" w:sz="4" w:color="D9D9D9"/>
              <w:bottom w:val="single" w:sz="4" w:color="D9D9D9"/>
              <w:right w:val="single" w:sz="4" w:color="D9D9D9"/>
            </w:tcBorders>
            <w:vAlign w:val="center"/>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GI-0647</w:t>
            </w:r>
          </w:p>
        </w:tc>
        <w:tc>
          <w:tcPr>
            <w:tcW w:type="dxa" w:w="4896"/>
            <w:tcBorders>
              <w:top w:val="single" w:sz="4" w:color="D9D9D9"/>
              <w:left w:val="single" w:sz="4" w:color="D9D9D9"/>
              <w:bottom w:val="single" w:sz="4" w:color="D9D9D9"/>
              <w:right w:val="single" w:sz="4" w:color="D9D9D9"/>
            </w:tcBorders>
            <w:vAlign w:val="center"/>
            <w:shd w:fill="F6F8FA"/>
          </w:tcPr>
          <w:p>
            <w:r>
              <w:rPr>
                <w:sz w:val="14"/>
              </w:rPr>
              <w:t>Yutma Bozukluğu ve Ağız Sağlığı.</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FT1</w:t>
            </w:r>
          </w:p>
        </w:tc>
        <w:tc>
          <w:tcPr>
            <w:tcW w:type="dxa" w:w="3168"/>
            <w:tcBorders>
              <w:top w:val="single" w:sz="4" w:color="D9D9D9"/>
              <w:left w:val="single" w:sz="4" w:color="D9D9D9"/>
              <w:bottom w:val="single" w:sz="4" w:color="D9D9D9"/>
              <w:right w:val="single" w:sz="4" w:color="D9D9D9"/>
            </w:tcBorders>
            <w:vAlign w:val="center"/>
            <w:shd w:fill="F6F8FA"/>
          </w:tcPr>
          <w:p>
            <w:r>
              <w:rPr>
                <w:sz w:val="14"/>
              </w:rPr>
              <w:t>The retrieved report does not provide an eligible human esophageal dysphagia/dysfunction analysis; it is confined to a non-esophageal, pharyngeal/oropharyngeal, cancer-only, or non-human domain.</w:t>
            </w:r>
          </w:p>
        </w:tc>
      </w:tr>
      <w:tr>
        <w:tc>
          <w:tcPr>
            <w:tcW w:type="dxa" w:w="1152"/>
            <w:tcBorders>
              <w:top w:val="single" w:sz="4" w:color="D9D9D9"/>
              <w:left w:val="single" w:sz="4" w:color="D9D9D9"/>
              <w:bottom w:val="single" w:sz="4" w:color="D9D9D9"/>
              <w:right w:val="single" w:sz="4" w:color="D9D9D9"/>
            </w:tcBorders>
            <w:vAlign w:val="center"/>
          </w:tcPr>
          <w:p>
            <w:r>
              <w:rPr>
                <w:sz w:val="14"/>
              </w:rPr>
              <w:t>GI-0857</w:t>
            </w:r>
          </w:p>
        </w:tc>
        <w:tc>
          <w:tcPr>
            <w:tcW w:type="dxa" w:w="4896"/>
            <w:tcBorders>
              <w:top w:val="single" w:sz="4" w:color="D9D9D9"/>
              <w:left w:val="single" w:sz="4" w:color="D9D9D9"/>
              <w:bottom w:val="single" w:sz="4" w:color="D9D9D9"/>
              <w:right w:val="single" w:sz="4" w:color="D9D9D9"/>
            </w:tcBorders>
            <w:vAlign w:val="center"/>
          </w:tcPr>
          <w:p>
            <w:r>
              <w:rPr>
                <w:sz w:val="14"/>
              </w:rPr>
              <w:t>Correlation of High Resolution Esophageal Manometry With Symptoms</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Clinical-trial registry record without posted study results; ineligible evidence type under the frozen rule.</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GI-0883</w:t>
            </w:r>
          </w:p>
        </w:tc>
        <w:tc>
          <w:tcPr>
            <w:tcW w:type="dxa" w:w="4896"/>
            <w:tcBorders>
              <w:top w:val="single" w:sz="4" w:color="D9D9D9"/>
              <w:left w:val="single" w:sz="4" w:color="D9D9D9"/>
              <w:bottom w:val="single" w:sz="4" w:color="D9D9D9"/>
              <w:right w:val="single" w:sz="4" w:color="D9D9D9"/>
            </w:tcBorders>
            <w:vAlign w:val="center"/>
            <w:shd w:fill="F6F8FA"/>
          </w:tcPr>
          <w:p>
            <w:r>
              <w:rPr>
                <w:sz w:val="14"/>
              </w:rPr>
              <w:t>Development of Machine Learning Models to Predict Postoperative GERD Symptom Resolution After Laparoscopic Nissen Fundoplication</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Clinical-trial registry record without posted study results; ineligible evidence type under the frozen rule.</w:t>
            </w:r>
          </w:p>
        </w:tc>
      </w:tr>
      <w:tr>
        <w:tc>
          <w:tcPr>
            <w:tcW w:type="dxa" w:w="1152"/>
            <w:tcBorders>
              <w:top w:val="single" w:sz="4" w:color="D9D9D9"/>
              <w:left w:val="single" w:sz="4" w:color="D9D9D9"/>
              <w:bottom w:val="single" w:sz="4" w:color="D9D9D9"/>
              <w:right w:val="single" w:sz="4" w:color="D9D9D9"/>
            </w:tcBorders>
            <w:vAlign w:val="center"/>
          </w:tcPr>
          <w:p>
            <w:r>
              <w:rPr>
                <w:sz w:val="14"/>
              </w:rPr>
              <w:t>GI-0891</w:t>
            </w:r>
          </w:p>
        </w:tc>
        <w:tc>
          <w:tcPr>
            <w:tcW w:type="dxa" w:w="4896"/>
            <w:tcBorders>
              <w:top w:val="single" w:sz="4" w:color="D9D9D9"/>
              <w:left w:val="single" w:sz="4" w:color="D9D9D9"/>
              <w:bottom w:val="single" w:sz="4" w:color="D9D9D9"/>
              <w:right w:val="single" w:sz="4" w:color="D9D9D9"/>
            </w:tcBorders>
            <w:vAlign w:val="center"/>
          </w:tcPr>
          <w:p>
            <w:r>
              <w:rPr>
                <w:sz w:val="14"/>
              </w:rPr>
              <w:t>Diagnostic Evaluation of Esophageal Motility Disorders Using the Chicago IV Protocol in Egypt</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Clinical-trial registry record without posted study results; ineligible evidence type under the frozen rule.</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GI-0963</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Effectiveness of Physiologic Testing in PPI Non-Responders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Clinical-trial registry record without posted study results; ineligible evidence type under the frozen rule.</w:t>
            </w:r>
          </w:p>
        </w:tc>
      </w:tr>
      <w:tr>
        <w:tc>
          <w:tcPr>
            <w:tcW w:type="dxa" w:w="1152"/>
            <w:tcBorders>
              <w:top w:val="single" w:sz="4" w:color="D9D9D9"/>
              <w:left w:val="single" w:sz="4" w:color="D9D9D9"/>
              <w:bottom w:val="single" w:sz="4" w:color="D9D9D9"/>
              <w:right w:val="single" w:sz="4" w:color="D9D9D9"/>
            </w:tcBorders>
            <w:vAlign w:val="center"/>
          </w:tcPr>
          <w:p>
            <w:r>
              <w:rPr>
                <w:sz w:val="14"/>
              </w:rPr>
              <w:t>GI-1039</w:t>
            </w:r>
          </w:p>
        </w:tc>
        <w:tc>
          <w:tcPr>
            <w:tcW w:type="dxa" w:w="4896"/>
            <w:tcBorders>
              <w:top w:val="single" w:sz="4" w:color="D9D9D9"/>
              <w:left w:val="single" w:sz="4" w:color="D9D9D9"/>
              <w:bottom w:val="single" w:sz="4" w:color="D9D9D9"/>
              <w:right w:val="single" w:sz="4" w:color="D9D9D9"/>
            </w:tcBorders>
            <w:vAlign w:val="center"/>
          </w:tcPr>
          <w:p>
            <w:r>
              <w:rPr>
                <w:sz w:val="14"/>
              </w:rPr>
              <w:t>Epidemiology of Barrett's Esophagus: A Population Based Study</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Exact ClinicalTrials.gov registry record verified, but no posted study results are available; protocol/registry without results is ineligible under the frozen evidence-type rule.</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GI-1085</w:t>
            </w:r>
          </w:p>
        </w:tc>
        <w:tc>
          <w:tcPr>
            <w:tcW w:type="dxa" w:w="4896"/>
            <w:tcBorders>
              <w:top w:val="single" w:sz="4" w:color="D9D9D9"/>
              <w:left w:val="single" w:sz="4" w:color="D9D9D9"/>
              <w:bottom w:val="single" w:sz="4" w:color="D9D9D9"/>
              <w:right w:val="single" w:sz="4" w:color="D9D9D9"/>
            </w:tcBorders>
            <w:vAlign w:val="center"/>
            <w:shd w:fill="F6F8FA"/>
          </w:tcPr>
          <w:p>
            <w:r>
              <w:rPr>
                <w:sz w:val="14"/>
              </w:rPr>
              <w:t>Evolution of the Chicago Classification: Bridging Physiology and Mechanics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Exact ClinicalTrials.gov registry record verified, but no posted study results are available; protocol/registry without results is ineligible under the frozen evidence-type rule.</w:t>
            </w:r>
          </w:p>
        </w:tc>
      </w:tr>
      <w:tr>
        <w:tc>
          <w:tcPr>
            <w:tcW w:type="dxa" w:w="1152"/>
            <w:tcBorders>
              <w:top w:val="single" w:sz="4" w:color="D9D9D9"/>
              <w:left w:val="single" w:sz="4" w:color="D9D9D9"/>
              <w:bottom w:val="single" w:sz="4" w:color="D9D9D9"/>
              <w:right w:val="single" w:sz="4" w:color="D9D9D9"/>
            </w:tcBorders>
            <w:vAlign w:val="center"/>
          </w:tcPr>
          <w:p>
            <w:r>
              <w:rPr>
                <w:sz w:val="14"/>
              </w:rPr>
              <w:t>GI-1118</w:t>
            </w:r>
          </w:p>
        </w:tc>
        <w:tc>
          <w:tcPr>
            <w:tcW w:type="dxa" w:w="4896"/>
            <w:tcBorders>
              <w:top w:val="single" w:sz="4" w:color="D9D9D9"/>
              <w:left w:val="single" w:sz="4" w:color="D9D9D9"/>
              <w:bottom w:val="single" w:sz="4" w:color="D9D9D9"/>
              <w:right w:val="single" w:sz="4" w:color="D9D9D9"/>
            </w:tcBorders>
            <w:vAlign w:val="center"/>
          </w:tcPr>
          <w:p>
            <w:r>
              <w:rPr>
                <w:sz w:val="14"/>
              </w:rPr>
              <w:t>Gastroesophageal Reflux Disease Diagnostic Trial</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Clinical-trial registry record without posted study results; ineligible evidence type under the frozen rule.</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GI-1228</w:t>
            </w:r>
          </w:p>
        </w:tc>
        <w:tc>
          <w:tcPr>
            <w:tcW w:type="dxa" w:w="4896"/>
            <w:tcBorders>
              <w:top w:val="single" w:sz="4" w:color="D9D9D9"/>
              <w:left w:val="single" w:sz="4" w:color="D9D9D9"/>
              <w:bottom w:val="single" w:sz="4" w:color="D9D9D9"/>
              <w:right w:val="single" w:sz="4" w:color="D9D9D9"/>
            </w:tcBorders>
            <w:vAlign w:val="center"/>
            <w:shd w:fill="F6F8FA"/>
          </w:tcPr>
          <w:p>
            <w:r>
              <w:rPr>
                <w:sz w:val="14"/>
              </w:rPr>
              <w:t>Minimal Injuries From Esophagus Detected by Optical Enhancement System™ Associated to Optical Magnification HD Scopes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Exact ClinicalTrials.gov registry record verified, but no posted study results are available; protocol/registry without results is ineligible under the frozen evidence-type rule.</w:t>
            </w:r>
          </w:p>
        </w:tc>
      </w:tr>
      <w:tr>
        <w:tc>
          <w:tcPr>
            <w:tcW w:type="dxa" w:w="1152"/>
            <w:tcBorders>
              <w:top w:val="single" w:sz="4" w:color="D9D9D9"/>
              <w:left w:val="single" w:sz="4" w:color="D9D9D9"/>
              <w:bottom w:val="single" w:sz="4" w:color="D9D9D9"/>
              <w:right w:val="single" w:sz="4" w:color="D9D9D9"/>
            </w:tcBorders>
            <w:vAlign w:val="center"/>
          </w:tcPr>
          <w:p>
            <w:r>
              <w:rPr>
                <w:sz w:val="14"/>
              </w:rPr>
              <w:t>GI-1297</w:t>
            </w:r>
          </w:p>
        </w:tc>
        <w:tc>
          <w:tcPr>
            <w:tcW w:type="dxa" w:w="4896"/>
            <w:tcBorders>
              <w:top w:val="single" w:sz="4" w:color="D9D9D9"/>
              <w:left w:val="single" w:sz="4" w:color="D9D9D9"/>
              <w:bottom w:val="single" w:sz="4" w:color="D9D9D9"/>
              <w:right w:val="single" w:sz="4" w:color="D9D9D9"/>
            </w:tcBorders>
            <w:vAlign w:val="center"/>
          </w:tcPr>
          <w:p>
            <w:r>
              <w:rPr>
                <w:sz w:val="14"/>
              </w:rPr>
              <w:t>Outcomes for Patients With Gastro-Esophageal Reflux Disease</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Clinical-trial registry record without posted study results; ineligible evidence type under the frozen rule.</w:t>
            </w:r>
          </w:p>
        </w:tc>
      </w:tr>
      <w:tr>
        <w:tc>
          <w:tcPr>
            <w:tcW w:type="dxa" w:w="1152"/>
            <w:tcBorders>
              <w:top w:val="single" w:sz="4" w:color="D9D9D9"/>
              <w:left w:val="single" w:sz="4" w:color="D9D9D9"/>
              <w:bottom w:val="single" w:sz="4" w:color="D9D9D9"/>
              <w:right w:val="single" w:sz="4" w:color="D9D9D9"/>
            </w:tcBorders>
            <w:vAlign w:val="center"/>
            <w:shd w:fill="F6F8FA"/>
          </w:tcPr>
          <w:p>
            <w:r>
              <w:rPr>
                <w:sz w:val="14"/>
              </w:rPr>
              <w:t>GI-1485</w:t>
            </w:r>
          </w:p>
        </w:tc>
        <w:tc>
          <w:tcPr>
            <w:tcW w:type="dxa" w:w="4896"/>
            <w:tcBorders>
              <w:top w:val="single" w:sz="4" w:color="D9D9D9"/>
              <w:left w:val="single" w:sz="4" w:color="D9D9D9"/>
              <w:bottom w:val="single" w:sz="4" w:color="D9D9D9"/>
              <w:right w:val="single" w:sz="4" w:color="D9D9D9"/>
            </w:tcBorders>
            <w:vAlign w:val="center"/>
            <w:shd w:fill="F6F8FA"/>
          </w:tcPr>
          <w:p>
            <w:r>
              <w:rPr>
                <w:sz w:val="14"/>
              </w:rPr>
              <w:t>Standard Versus Oesophago-gastric Junction Complex Myotomy for Treatment naïve Type 2 Achalasia Patients</w:t>
            </w:r>
          </w:p>
        </w:tc>
        <w:tc>
          <w:tcPr>
            <w:tcW w:type="dxa" w:w="1008"/>
            <w:tcBorders>
              <w:top w:val="single" w:sz="4" w:color="D9D9D9"/>
              <w:left w:val="single" w:sz="4" w:color="D9D9D9"/>
              <w:bottom w:val="single" w:sz="4" w:color="D9D9D9"/>
              <w:right w:val="single" w:sz="4" w:color="D9D9D9"/>
            </w:tcBorders>
            <w:vAlign w:val="center"/>
            <w:shd w:fill="F6F8FA"/>
          </w:tcPr>
          <w:p>
            <w:r>
              <w:rPr>
                <w:sz w:val="14"/>
              </w:rPr>
              <w:t>FT4</w:t>
            </w:r>
          </w:p>
        </w:tc>
        <w:tc>
          <w:tcPr>
            <w:tcW w:type="dxa" w:w="3168"/>
            <w:tcBorders>
              <w:top w:val="single" w:sz="4" w:color="D9D9D9"/>
              <w:left w:val="single" w:sz="4" w:color="D9D9D9"/>
              <w:bottom w:val="single" w:sz="4" w:color="D9D9D9"/>
              <w:right w:val="single" w:sz="4" w:color="D9D9D9"/>
            </w:tcBorders>
            <w:vAlign w:val="center"/>
            <w:shd w:fill="F6F8FA"/>
          </w:tcPr>
          <w:p>
            <w:r>
              <w:rPr>
                <w:sz w:val="14"/>
              </w:rPr>
              <w:t>Exact ClinicalTrials.gov registry record verified, but no posted study results are available; protocol/registry without results is ineligible under the frozen evidence-type rule.</w:t>
            </w:r>
          </w:p>
        </w:tc>
      </w:tr>
      <w:tr>
        <w:tc>
          <w:tcPr>
            <w:tcW w:type="dxa" w:w="1152"/>
            <w:tcBorders>
              <w:top w:val="single" w:sz="4" w:color="D9D9D9"/>
              <w:left w:val="single" w:sz="4" w:color="D9D9D9"/>
              <w:bottom w:val="single" w:sz="4" w:color="D9D9D9"/>
              <w:right w:val="single" w:sz="4" w:color="D9D9D9"/>
            </w:tcBorders>
            <w:vAlign w:val="center"/>
          </w:tcPr>
          <w:p>
            <w:r>
              <w:rPr>
                <w:sz w:val="14"/>
              </w:rPr>
              <w:t>GI-1591</w:t>
            </w:r>
          </w:p>
        </w:tc>
        <w:tc>
          <w:tcPr>
            <w:tcW w:type="dxa" w:w="4896"/>
            <w:tcBorders>
              <w:top w:val="single" w:sz="4" w:color="D9D9D9"/>
              <w:left w:val="single" w:sz="4" w:color="D9D9D9"/>
              <w:bottom w:val="single" w:sz="4" w:color="D9D9D9"/>
              <w:right w:val="single" w:sz="4" w:color="D9D9D9"/>
            </w:tcBorders>
            <w:vAlign w:val="center"/>
          </w:tcPr>
          <w:p>
            <w:r>
              <w:rPr>
                <w:sz w:val="14"/>
              </w:rPr>
              <w:t>The WATS3D (Wide Area Transepithelial Sample Biopsy With 3-Dimensional Computer-Assisted Analysis) U.S. Registry</w:t>
            </w:r>
          </w:p>
        </w:tc>
        <w:tc>
          <w:tcPr>
            <w:tcW w:type="dxa" w:w="1008"/>
            <w:tcBorders>
              <w:top w:val="single" w:sz="4" w:color="D9D9D9"/>
              <w:left w:val="single" w:sz="4" w:color="D9D9D9"/>
              <w:bottom w:val="single" w:sz="4" w:color="D9D9D9"/>
              <w:right w:val="single" w:sz="4" w:color="D9D9D9"/>
            </w:tcBorders>
            <w:vAlign w:val="center"/>
          </w:tcPr>
          <w:p>
            <w:r>
              <w:rPr>
                <w:sz w:val="14"/>
              </w:rPr>
              <w:t>FT4</w:t>
            </w:r>
          </w:p>
        </w:tc>
        <w:tc>
          <w:tcPr>
            <w:tcW w:type="dxa" w:w="3168"/>
            <w:tcBorders>
              <w:top w:val="single" w:sz="4" w:color="D9D9D9"/>
              <w:left w:val="single" w:sz="4" w:color="D9D9D9"/>
              <w:bottom w:val="single" w:sz="4" w:color="D9D9D9"/>
              <w:right w:val="single" w:sz="4" w:color="D9D9D9"/>
            </w:tcBorders>
            <w:vAlign w:val="center"/>
          </w:tcPr>
          <w:p>
            <w:r>
              <w:rPr>
                <w:sz w:val="14"/>
              </w:rPr>
              <w:t>Exact ClinicalTrials.gov registry record verified, but no posted study results are available; protocol/registry without results is ineligible under the frozen evidence-type rule.</w:t>
            </w:r>
          </w:p>
        </w:tc>
      </w:tr>
    </w:tbl>
    <w:p>
      <w:pPr>
        <w:pStyle w:val="Heading1"/>
        <w:keepNext/>
      </w:pPr>
      <w:r>
        <w:t>S3. Reports Not Retrieved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1152"/>
            <w:shd w:fill="D9EAF7"/>
            <w:tcBorders>
              <w:top w:val="single" w:sz="4" w:color="D9D9D9"/>
              <w:left w:val="single" w:sz="4" w:color="D9D9D9"/>
              <w:bottom w:val="single" w:sz="4" w:color="D9D9D9"/>
              <w:right w:val="single" w:sz="4" w:color="D9D9D9"/>
            </w:tcBorders>
            <w:vAlign w:val="center"/>
          </w:tcPr>
          <w:p>
            <w:r>
              <w:rPr>
                <w:b/>
                <w:color w:val="FFFFFF"/>
                <w:sz w:val="15"/>
              </w:rPr>
              <w:t>Record_ID</w:t>
            </w:r>
          </w:p>
        </w:tc>
        <w:tc>
          <w:tcPr>
            <w:tcW w:type="dxa" w:w="4896"/>
            <w:shd w:fill="D9EAF7"/>
            <w:tcBorders>
              <w:top w:val="single" w:sz="4" w:color="D9D9D9"/>
              <w:left w:val="single" w:sz="4" w:color="D9D9D9"/>
              <w:bottom w:val="single" w:sz="4" w:color="D9D9D9"/>
              <w:right w:val="single" w:sz="4" w:color="D9D9D9"/>
            </w:tcBorders>
            <w:vAlign w:val="center"/>
          </w:tcPr>
          <w:p>
            <w:r>
              <w:rPr>
                <w:b/>
                <w:color w:val="FFFFFF"/>
                <w:sz w:val="15"/>
              </w:rPr>
              <w:t>Title</w:t>
            </w:r>
          </w:p>
        </w:tc>
        <w:tc>
          <w:tcPr>
            <w:tcW w:type="dxa" w:w="2016"/>
            <w:shd w:fill="D9EAF7"/>
            <w:tcBorders>
              <w:top w:val="single" w:sz="4" w:color="D9D9D9"/>
              <w:left w:val="single" w:sz="4" w:color="D9D9D9"/>
              <w:bottom w:val="single" w:sz="4" w:color="D9D9D9"/>
              <w:right w:val="single" w:sz="4" w:color="D9D9D9"/>
            </w:tcBorders>
            <w:vAlign w:val="center"/>
          </w:tcPr>
          <w:p>
            <w:r>
              <w:rPr>
                <w:b/>
                <w:color w:val="FFFFFF"/>
                <w:sz w:val="15"/>
              </w:rPr>
              <w:t>Identifier</w:t>
            </w:r>
          </w:p>
        </w:tc>
        <w:tc>
          <w:tcPr>
            <w:tcW w:type="dxa" w:w="2880"/>
            <w:shd w:fill="D9EAF7"/>
            <w:tcBorders>
              <w:top w:val="single" w:sz="4" w:color="D9D9D9"/>
              <w:left w:val="single" w:sz="4" w:color="D9D9D9"/>
              <w:bottom w:val="single" w:sz="4" w:color="D9D9D9"/>
              <w:right w:val="single" w:sz="4" w:color="D9D9D9"/>
            </w:tcBorders>
            <w:vAlign w:val="center"/>
          </w:tcPr>
          <w:p>
            <w:r>
              <w:rPr>
                <w:b/>
                <w:color w:val="FFFFFF"/>
                <w:sz w:val="15"/>
              </w:rPr>
              <w:t>Outcome</w:t>
            </w:r>
          </w:p>
        </w:tc>
      </w:tr>
      <w:tr>
        <w:tc>
          <w:tcPr>
            <w:tcW w:type="dxa" w:w="1152"/>
            <w:tcBorders>
              <w:top w:val="single" w:sz="4" w:color="D9D9D9"/>
              <w:left w:val="single" w:sz="4" w:color="D9D9D9"/>
              <w:bottom w:val="single" w:sz="4" w:color="D9D9D9"/>
              <w:right w:val="single" w:sz="4" w:color="D9D9D9"/>
            </w:tcBorders>
            <w:vAlign w:val="center"/>
          </w:tcPr>
          <w:p>
            <w:r>
              <w:rPr>
                <w:sz w:val="15"/>
              </w:rPr>
              <w:t>GI-0056</w:t>
            </w:r>
          </w:p>
        </w:tc>
        <w:tc>
          <w:tcPr>
            <w:tcW w:type="dxa" w:w="4896"/>
            <w:tcBorders>
              <w:top w:val="single" w:sz="4" w:color="D9D9D9"/>
              <w:left w:val="single" w:sz="4" w:color="D9D9D9"/>
              <w:bottom w:val="single" w:sz="4" w:color="D9D9D9"/>
              <w:right w:val="single" w:sz="4" w:color="D9D9D9"/>
            </w:tcBorders>
            <w:vAlign w:val="center"/>
          </w:tcPr>
          <w:p>
            <w:r>
              <w:rPr>
                <w:sz w:val="15"/>
              </w:rPr>
              <w:t>Achalasia today and tomorrow: surgery between robotic precision, functional phenotyping, and data-driven medicine.</w:t>
            </w:r>
          </w:p>
        </w:tc>
        <w:tc>
          <w:tcPr>
            <w:tcW w:type="dxa" w:w="2016"/>
            <w:tcBorders>
              <w:top w:val="single" w:sz="4" w:color="D9D9D9"/>
              <w:left w:val="single" w:sz="4" w:color="D9D9D9"/>
              <w:bottom w:val="single" w:sz="4" w:color="D9D9D9"/>
              <w:right w:val="single" w:sz="4" w:color="D9D9D9"/>
            </w:tcBorders>
            <w:vAlign w:val="center"/>
          </w:tcPr>
          <w:p>
            <w:r>
              <w:rPr>
                <w:sz w:val="15"/>
              </w:rPr>
              <w:t>10.1515/jbcpp-2026-0004</w:t>
            </w:r>
          </w:p>
        </w:tc>
        <w:tc>
          <w:tcPr>
            <w:tcW w:type="dxa" w:w="2880"/>
            <w:tcBorders>
              <w:top w:val="single" w:sz="4" w:color="D9D9D9"/>
              <w:left w:val="single" w:sz="4" w:color="D9D9D9"/>
              <w:bottom w:val="single" w:sz="4" w:color="D9D9D9"/>
              <w:right w:val="single" w:sz="4" w:color="D9D9D9"/>
            </w:tcBorders>
            <w:vAlign w:val="center"/>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shd w:fill="F6F8FA"/>
          </w:tcPr>
          <w:p>
            <w:r>
              <w:rPr>
                <w:sz w:val="15"/>
              </w:rPr>
              <w:t>GI-0094</w:t>
            </w:r>
          </w:p>
        </w:tc>
        <w:tc>
          <w:tcPr>
            <w:tcW w:type="dxa" w:w="4896"/>
            <w:tcBorders>
              <w:top w:val="single" w:sz="4" w:color="D9D9D9"/>
              <w:left w:val="single" w:sz="4" w:color="D9D9D9"/>
              <w:bottom w:val="single" w:sz="4" w:color="D9D9D9"/>
              <w:right w:val="single" w:sz="4" w:color="D9D9D9"/>
            </w:tcBorders>
            <w:vAlign w:val="center"/>
            <w:shd w:fill="F6F8FA"/>
          </w:tcPr>
          <w:p>
            <w:r>
              <w:rPr>
                <w:sz w:val="15"/>
              </w:rPr>
              <w:t>Application of machine learning to create a prediction model for the need of aggressive nutritional intervention during head &amp; neck cancer radiotherapy.</w:t>
            </w:r>
          </w:p>
        </w:tc>
        <w:tc>
          <w:tcPr>
            <w:tcW w:type="dxa" w:w="2016"/>
            <w:tcBorders>
              <w:top w:val="single" w:sz="4" w:color="D9D9D9"/>
              <w:left w:val="single" w:sz="4" w:color="D9D9D9"/>
              <w:bottom w:val="single" w:sz="4" w:color="D9D9D9"/>
              <w:right w:val="single" w:sz="4" w:color="D9D9D9"/>
            </w:tcBorders>
            <w:vAlign w:val="center"/>
            <w:shd w:fill="F6F8FA"/>
          </w:tcPr>
          <w:p>
            <w:r>
              <w:rPr>
                <w:sz w:val="15"/>
              </w:rPr>
              <w:t>10.1016/j.clnesp.2025.11.157</w:t>
            </w:r>
          </w:p>
        </w:tc>
        <w:tc>
          <w:tcPr>
            <w:tcW w:type="dxa" w:w="2880"/>
            <w:tcBorders>
              <w:top w:val="single" w:sz="4" w:color="D9D9D9"/>
              <w:left w:val="single" w:sz="4" w:color="D9D9D9"/>
              <w:bottom w:val="single" w:sz="4" w:color="D9D9D9"/>
              <w:right w:val="single" w:sz="4" w:color="D9D9D9"/>
            </w:tcBorders>
            <w:vAlign w:val="center"/>
            <w:shd w:fill="F6F8FA"/>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tcPr>
          <w:p>
            <w:r>
              <w:rPr>
                <w:sz w:val="15"/>
              </w:rPr>
              <w:t>GI-0174</w:t>
            </w:r>
          </w:p>
        </w:tc>
        <w:tc>
          <w:tcPr>
            <w:tcW w:type="dxa" w:w="4896"/>
            <w:tcBorders>
              <w:top w:val="single" w:sz="4" w:color="D9D9D9"/>
              <w:left w:val="single" w:sz="4" w:color="D9D9D9"/>
              <w:bottom w:val="single" w:sz="4" w:color="D9D9D9"/>
              <w:right w:val="single" w:sz="4" w:color="D9D9D9"/>
            </w:tcBorders>
            <w:vAlign w:val="center"/>
          </w:tcPr>
          <w:p>
            <w:r>
              <w:rPr>
                <w:sz w:val="15"/>
              </w:rPr>
              <w:t>Combining the predictions for radiationinduced dysphagia in lungcancer patients from multiple models improves the prognostic accuracy of each individual model</w:t>
            </w:r>
          </w:p>
        </w:tc>
        <w:tc>
          <w:tcPr>
            <w:tcW w:type="dxa" w:w="2016"/>
            <w:tcBorders>
              <w:top w:val="single" w:sz="4" w:color="D9D9D9"/>
              <w:left w:val="single" w:sz="4" w:color="D9D9D9"/>
              <w:bottom w:val="single" w:sz="4" w:color="D9D9D9"/>
              <w:right w:val="single" w:sz="4" w:color="D9D9D9"/>
            </w:tcBorders>
            <w:vAlign w:val="center"/>
          </w:tcPr>
          <w:p>
            <w:r>
              <w:rPr>
                <w:sz w:val="15"/>
              </w:rPr>
              <w:t>Embase L71235509</w:t>
            </w:r>
          </w:p>
        </w:tc>
        <w:tc>
          <w:tcPr>
            <w:tcW w:type="dxa" w:w="2880"/>
            <w:tcBorders>
              <w:top w:val="single" w:sz="4" w:color="D9D9D9"/>
              <w:left w:val="single" w:sz="4" w:color="D9D9D9"/>
              <w:bottom w:val="single" w:sz="4" w:color="D9D9D9"/>
              <w:right w:val="single" w:sz="4" w:color="D9D9D9"/>
            </w:tcBorders>
            <w:vAlign w:val="center"/>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shd w:fill="F6F8FA"/>
          </w:tcPr>
          <w:p>
            <w:r>
              <w:rPr>
                <w:sz w:val="15"/>
              </w:rPr>
              <w:t>GI-0370</w:t>
            </w:r>
          </w:p>
        </w:tc>
        <w:tc>
          <w:tcPr>
            <w:tcW w:type="dxa" w:w="4896"/>
            <w:tcBorders>
              <w:top w:val="single" w:sz="4" w:color="D9D9D9"/>
              <w:left w:val="single" w:sz="4" w:color="D9D9D9"/>
              <w:bottom w:val="single" w:sz="4" w:color="D9D9D9"/>
              <w:right w:val="single" w:sz="4" w:color="D9D9D9"/>
            </w:tcBorders>
            <w:vAlign w:val="center"/>
            <w:shd w:fill="F6F8FA"/>
          </w:tcPr>
          <w:p>
            <w:r>
              <w:rPr>
                <w:sz w:val="15"/>
              </w:rPr>
              <w:t>Impact of esophageal motor diagnoses on symptom burden and health-related quality of life (HRQOL)</w:t>
            </w:r>
          </w:p>
        </w:tc>
        <w:tc>
          <w:tcPr>
            <w:tcW w:type="dxa" w:w="2016"/>
            <w:tcBorders>
              <w:top w:val="single" w:sz="4" w:color="D9D9D9"/>
              <w:left w:val="single" w:sz="4" w:color="D9D9D9"/>
              <w:bottom w:val="single" w:sz="4" w:color="D9D9D9"/>
              <w:right w:val="single" w:sz="4" w:color="D9D9D9"/>
            </w:tcBorders>
            <w:vAlign w:val="center"/>
            <w:shd w:fill="F6F8FA"/>
          </w:tcPr>
          <w:p>
            <w:r>
              <w:rPr>
                <w:sz w:val="15"/>
              </w:rPr>
              <w:t>10.1016/S0016-5085(15)32779-7</w:t>
            </w:r>
          </w:p>
        </w:tc>
        <w:tc>
          <w:tcPr>
            <w:tcW w:type="dxa" w:w="2880"/>
            <w:tcBorders>
              <w:top w:val="single" w:sz="4" w:color="D9D9D9"/>
              <w:left w:val="single" w:sz="4" w:color="D9D9D9"/>
              <w:bottom w:val="single" w:sz="4" w:color="D9D9D9"/>
              <w:right w:val="single" w:sz="4" w:color="D9D9D9"/>
            </w:tcBorders>
            <w:vAlign w:val="center"/>
            <w:shd w:fill="F6F8FA"/>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tcPr>
          <w:p>
            <w:r>
              <w:rPr>
                <w:sz w:val="15"/>
              </w:rPr>
              <w:t>GI-0434</w:t>
            </w:r>
          </w:p>
        </w:tc>
        <w:tc>
          <w:tcPr>
            <w:tcW w:type="dxa" w:w="4896"/>
            <w:tcBorders>
              <w:top w:val="single" w:sz="4" w:color="D9D9D9"/>
              <w:left w:val="single" w:sz="4" w:color="D9D9D9"/>
              <w:bottom w:val="single" w:sz="4" w:color="D9D9D9"/>
              <w:right w:val="single" w:sz="4" w:color="D9D9D9"/>
            </w:tcBorders>
            <w:vAlign w:val="center"/>
          </w:tcPr>
          <w:p>
            <w:r>
              <w:rPr>
                <w:sz w:val="15"/>
              </w:rPr>
              <w:t>Modelling and prediction of food rheological behaviour in human esophagus channel with and without dysphagia effect-A machine learning approach</w:t>
            </w:r>
          </w:p>
        </w:tc>
        <w:tc>
          <w:tcPr>
            <w:tcW w:type="dxa" w:w="2016"/>
            <w:tcBorders>
              <w:top w:val="single" w:sz="4" w:color="D9D9D9"/>
              <w:left w:val="single" w:sz="4" w:color="D9D9D9"/>
              <w:bottom w:val="single" w:sz="4" w:color="D9D9D9"/>
              <w:right w:val="single" w:sz="4" w:color="D9D9D9"/>
            </w:tcBorders>
            <w:vAlign w:val="center"/>
          </w:tcPr>
          <w:p>
            <w:r>
              <w:rPr>
                <w:sz w:val="15"/>
              </w:rPr>
              <w:t>10.12989/anr.2026.20.6.847</w:t>
            </w:r>
          </w:p>
        </w:tc>
        <w:tc>
          <w:tcPr>
            <w:tcW w:type="dxa" w:w="2880"/>
            <w:tcBorders>
              <w:top w:val="single" w:sz="4" w:color="D9D9D9"/>
              <w:left w:val="single" w:sz="4" w:color="D9D9D9"/>
              <w:bottom w:val="single" w:sz="4" w:color="D9D9D9"/>
              <w:right w:val="single" w:sz="4" w:color="D9D9D9"/>
            </w:tcBorders>
            <w:vAlign w:val="center"/>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shd w:fill="F6F8FA"/>
          </w:tcPr>
          <w:p>
            <w:r>
              <w:rPr>
                <w:sz w:val="15"/>
              </w:rPr>
              <w:t>GI-0459</w:t>
            </w:r>
          </w:p>
        </w:tc>
        <w:tc>
          <w:tcPr>
            <w:tcW w:type="dxa" w:w="4896"/>
            <w:tcBorders>
              <w:top w:val="single" w:sz="4" w:color="D9D9D9"/>
              <w:left w:val="single" w:sz="4" w:color="D9D9D9"/>
              <w:bottom w:val="single" w:sz="4" w:color="D9D9D9"/>
              <w:right w:val="single" w:sz="4" w:color="D9D9D9"/>
            </w:tcBorders>
            <w:vAlign w:val="center"/>
            <w:shd w:fill="F6F8FA"/>
          </w:tcPr>
          <w:p>
            <w:r>
              <w:rPr>
                <w:sz w:val="15"/>
              </w:rPr>
              <w:t>On the robustness of high-resolution cervical auscultation-based detection of upper esophageal sphincter opening duration in diverse populations</w:t>
            </w:r>
          </w:p>
        </w:tc>
        <w:tc>
          <w:tcPr>
            <w:tcW w:type="dxa" w:w="2016"/>
            <w:tcBorders>
              <w:top w:val="single" w:sz="4" w:color="D9D9D9"/>
              <w:left w:val="single" w:sz="4" w:color="D9D9D9"/>
              <w:bottom w:val="single" w:sz="4" w:color="D9D9D9"/>
              <w:right w:val="single" w:sz="4" w:color="D9D9D9"/>
            </w:tcBorders>
            <w:vAlign w:val="center"/>
            <w:shd w:fill="F6F8FA"/>
          </w:tcPr>
          <w:p>
            <w:r>
              <w:rPr>
                <w:sz w:val="15"/>
              </w:rPr>
              <w:t>10.1117/12.2588591</w:t>
            </w:r>
          </w:p>
        </w:tc>
        <w:tc>
          <w:tcPr>
            <w:tcW w:type="dxa" w:w="2880"/>
            <w:tcBorders>
              <w:top w:val="single" w:sz="4" w:color="D9D9D9"/>
              <w:left w:val="single" w:sz="4" w:color="D9D9D9"/>
              <w:bottom w:val="single" w:sz="4" w:color="D9D9D9"/>
              <w:right w:val="single" w:sz="4" w:color="D9D9D9"/>
            </w:tcBorders>
            <w:vAlign w:val="center"/>
            <w:shd w:fill="F6F8FA"/>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tcPr>
          <w:p>
            <w:r>
              <w:rPr>
                <w:sz w:val="15"/>
              </w:rPr>
              <w:t>GI-0568</w:t>
            </w:r>
          </w:p>
        </w:tc>
        <w:tc>
          <w:tcPr>
            <w:tcW w:type="dxa" w:w="4896"/>
            <w:tcBorders>
              <w:top w:val="single" w:sz="4" w:color="D9D9D9"/>
              <w:left w:val="single" w:sz="4" w:color="D9D9D9"/>
              <w:bottom w:val="single" w:sz="4" w:color="D9D9D9"/>
              <w:right w:val="single" w:sz="4" w:color="D9D9D9"/>
            </w:tcBorders>
            <w:vAlign w:val="center"/>
          </w:tcPr>
          <w:p>
            <w:r>
              <w:rPr>
                <w:sz w:val="15"/>
              </w:rPr>
              <w:t>Swallowing Motion Analyzing from Dental MR Imaging Based on AKAZE and Particle Filter Algorithm</w:t>
            </w:r>
          </w:p>
        </w:tc>
        <w:tc>
          <w:tcPr>
            <w:tcW w:type="dxa" w:w="2016"/>
            <w:tcBorders>
              <w:top w:val="single" w:sz="4" w:color="D9D9D9"/>
              <w:left w:val="single" w:sz="4" w:color="D9D9D9"/>
              <w:bottom w:val="single" w:sz="4" w:color="D9D9D9"/>
              <w:right w:val="single" w:sz="4" w:color="D9D9D9"/>
            </w:tcBorders>
            <w:vAlign w:val="center"/>
          </w:tcPr>
          <w:p>
            <w:r>
              <w:rPr>
                <w:sz w:val="15"/>
              </w:rPr>
              <w:t>Scopus 85060441189</w:t>
            </w:r>
          </w:p>
        </w:tc>
        <w:tc>
          <w:tcPr>
            <w:tcW w:type="dxa" w:w="2880"/>
            <w:tcBorders>
              <w:top w:val="single" w:sz="4" w:color="D9D9D9"/>
              <w:left w:val="single" w:sz="4" w:color="D9D9D9"/>
              <w:bottom w:val="single" w:sz="4" w:color="D9D9D9"/>
              <w:right w:val="single" w:sz="4" w:color="D9D9D9"/>
            </w:tcBorders>
            <w:vAlign w:val="center"/>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shd w:fill="F6F8FA"/>
          </w:tcPr>
          <w:p>
            <w:r>
              <w:rPr>
                <w:sz w:val="15"/>
              </w:rPr>
              <w:t>GI-0574</w:t>
            </w:r>
          </w:p>
        </w:tc>
        <w:tc>
          <w:tcPr>
            <w:tcW w:type="dxa" w:w="4896"/>
            <w:tcBorders>
              <w:top w:val="single" w:sz="4" w:color="D9D9D9"/>
              <w:left w:val="single" w:sz="4" w:color="D9D9D9"/>
              <w:bottom w:val="single" w:sz="4" w:color="D9D9D9"/>
              <w:right w:val="single" w:sz="4" w:color="D9D9D9"/>
            </w:tcBorders>
            <w:vAlign w:val="center"/>
            <w:shd w:fill="F6F8FA"/>
          </w:tcPr>
          <w:p>
            <w:r>
              <w:rPr>
                <w:sz w:val="15"/>
              </w:rPr>
              <w:t>Systems Biology and Machine Learning Identify Genetic Overlaps Between Lung Cancer and Gastroesophageal Reflux Disease.</w:t>
            </w:r>
          </w:p>
        </w:tc>
        <w:tc>
          <w:tcPr>
            <w:tcW w:type="dxa" w:w="2016"/>
            <w:tcBorders>
              <w:top w:val="single" w:sz="4" w:color="D9D9D9"/>
              <w:left w:val="single" w:sz="4" w:color="D9D9D9"/>
              <w:bottom w:val="single" w:sz="4" w:color="D9D9D9"/>
              <w:right w:val="single" w:sz="4" w:color="D9D9D9"/>
            </w:tcBorders>
            <w:vAlign w:val="center"/>
            <w:shd w:fill="F6F8FA"/>
          </w:tcPr>
          <w:p>
            <w:r>
              <w:rPr>
                <w:sz w:val="15"/>
              </w:rPr>
              <w:t>10.1089/omi.2024.0150</w:t>
            </w:r>
          </w:p>
        </w:tc>
        <w:tc>
          <w:tcPr>
            <w:tcW w:type="dxa" w:w="2880"/>
            <w:tcBorders>
              <w:top w:val="single" w:sz="4" w:color="D9D9D9"/>
              <w:left w:val="single" w:sz="4" w:color="D9D9D9"/>
              <w:bottom w:val="single" w:sz="4" w:color="D9D9D9"/>
              <w:right w:val="single" w:sz="4" w:color="D9D9D9"/>
            </w:tcBorders>
            <w:vAlign w:val="center"/>
            <w:shd w:fill="F6F8FA"/>
          </w:tcPr>
          <w:p>
            <w:r>
              <w:rPr>
                <w:sz w:val="15"/>
              </w:rPr>
              <w:t>Complete report inaccessible after reasonable retrieval attempts; not assigned an exclusion code</w:t>
            </w:r>
          </w:p>
        </w:tc>
      </w:tr>
      <w:tr>
        <w:tc>
          <w:tcPr>
            <w:tcW w:type="dxa" w:w="1152"/>
            <w:tcBorders>
              <w:top w:val="single" w:sz="4" w:color="D9D9D9"/>
              <w:left w:val="single" w:sz="4" w:color="D9D9D9"/>
              <w:bottom w:val="single" w:sz="4" w:color="D9D9D9"/>
              <w:right w:val="single" w:sz="4" w:color="D9D9D9"/>
            </w:tcBorders>
            <w:vAlign w:val="center"/>
          </w:tcPr>
          <w:p>
            <w:r>
              <w:rPr>
                <w:sz w:val="15"/>
              </w:rPr>
              <w:t>GI-0580</w:t>
            </w:r>
          </w:p>
        </w:tc>
        <w:tc>
          <w:tcPr>
            <w:tcW w:type="dxa" w:w="4896"/>
            <w:tcBorders>
              <w:top w:val="single" w:sz="4" w:color="D9D9D9"/>
              <w:left w:val="single" w:sz="4" w:color="D9D9D9"/>
              <w:bottom w:val="single" w:sz="4" w:color="D9D9D9"/>
              <w:right w:val="single" w:sz="4" w:color="D9D9D9"/>
            </w:tcBorders>
            <w:vAlign w:val="center"/>
          </w:tcPr>
          <w:p>
            <w:r>
              <w:rPr>
                <w:sz w:val="15"/>
              </w:rPr>
              <w:t>[The application of artificial neural network method in diagnose and classify research on functional disease of the esophagus].</w:t>
            </w:r>
          </w:p>
        </w:tc>
        <w:tc>
          <w:tcPr>
            <w:tcW w:type="dxa" w:w="2016"/>
            <w:tcBorders>
              <w:top w:val="single" w:sz="4" w:color="D9D9D9"/>
              <w:left w:val="single" w:sz="4" w:color="D9D9D9"/>
              <w:bottom w:val="single" w:sz="4" w:color="D9D9D9"/>
              <w:right w:val="single" w:sz="4" w:color="D9D9D9"/>
            </w:tcBorders>
            <w:vAlign w:val="center"/>
          </w:tcPr>
          <w:p>
            <w:r>
              <w:rPr>
                <w:sz w:val="15"/>
              </w:rPr>
              <w:t>PMID 11189353</w:t>
            </w:r>
          </w:p>
        </w:tc>
        <w:tc>
          <w:tcPr>
            <w:tcW w:type="dxa" w:w="2880"/>
            <w:tcBorders>
              <w:top w:val="single" w:sz="4" w:color="D9D9D9"/>
              <w:left w:val="single" w:sz="4" w:color="D9D9D9"/>
              <w:bottom w:val="single" w:sz="4" w:color="D9D9D9"/>
              <w:right w:val="single" w:sz="4" w:color="D9D9D9"/>
            </w:tcBorders>
            <w:vAlign w:val="center"/>
          </w:tcPr>
          <w:p>
            <w:r>
              <w:rPr>
                <w:sz w:val="15"/>
              </w:rPr>
              <w:t>Complete report inaccessible after reasonable retrieval attempts; not assigned an exclusion code</w:t>
            </w:r>
          </w:p>
        </w:tc>
      </w:tr>
    </w:tbl>
    <w:p>
      <w:pPr>
        <w:pStyle w:val="Heading1"/>
        <w:keepNext/>
      </w:pPr>
      <w:r>
        <w:t>S4. Included Reports and Study Linkage</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blHeader w:val="true"/>
        </w:trPr>
        <w:tc>
          <w:tcPr>
            <w:tcW w:type="dxa" w:w="576"/>
            <w:shd w:fill="D9EAF7"/>
            <w:tcBorders>
              <w:top w:val="single" w:sz="4" w:color="D9D9D9"/>
              <w:left w:val="single" w:sz="4" w:color="D9D9D9"/>
              <w:bottom w:val="single" w:sz="4" w:color="D9D9D9"/>
              <w:right w:val="single" w:sz="4" w:color="D9D9D9"/>
            </w:tcBorders>
            <w:vAlign w:val="center"/>
          </w:tcPr>
          <w:p>
            <w:r>
              <w:rPr>
                <w:b/>
                <w:color w:val="FFFFFF"/>
                <w:sz w:val="14"/>
              </w:rPr>
              <w:t>Ref.</w:t>
            </w:r>
          </w:p>
        </w:tc>
        <w:tc>
          <w:tcPr>
            <w:tcW w:type="dxa" w:w="1008"/>
            <w:shd w:fill="D9EAF7"/>
            <w:tcBorders>
              <w:top w:val="single" w:sz="4" w:color="D9D9D9"/>
              <w:left w:val="single" w:sz="4" w:color="D9D9D9"/>
              <w:bottom w:val="single" w:sz="4" w:color="D9D9D9"/>
              <w:right w:val="single" w:sz="4" w:color="D9D9D9"/>
            </w:tcBorders>
            <w:vAlign w:val="center"/>
          </w:tcPr>
          <w:p>
            <w:r>
              <w:rPr>
                <w:b/>
                <w:color w:val="FFFFFF"/>
                <w:sz w:val="14"/>
              </w:rPr>
              <w:t>Study_ID</w:t>
            </w:r>
          </w:p>
        </w:tc>
        <w:tc>
          <w:tcPr>
            <w:tcW w:type="dxa" w:w="1296"/>
            <w:shd w:fill="D9EAF7"/>
            <w:tcBorders>
              <w:top w:val="single" w:sz="4" w:color="D9D9D9"/>
              <w:left w:val="single" w:sz="4" w:color="D9D9D9"/>
              <w:bottom w:val="single" w:sz="4" w:color="D9D9D9"/>
              <w:right w:val="single" w:sz="4" w:color="D9D9D9"/>
            </w:tcBorders>
            <w:vAlign w:val="center"/>
          </w:tcPr>
          <w:p>
            <w:r>
              <w:rPr>
                <w:b/>
                <w:color w:val="FFFFFF"/>
                <w:sz w:val="14"/>
              </w:rPr>
              <w:t>Report_ID</w:t>
            </w:r>
          </w:p>
        </w:tc>
        <w:tc>
          <w:tcPr>
            <w:tcW w:type="dxa" w:w="1008"/>
            <w:shd w:fill="D9EAF7"/>
            <w:tcBorders>
              <w:top w:val="single" w:sz="4" w:color="D9D9D9"/>
              <w:left w:val="single" w:sz="4" w:color="D9D9D9"/>
              <w:bottom w:val="single" w:sz="4" w:color="D9D9D9"/>
              <w:right w:val="single" w:sz="4" w:color="D9D9D9"/>
            </w:tcBorders>
            <w:vAlign w:val="center"/>
          </w:tcPr>
          <w:p>
            <w:r>
              <w:rPr>
                <w:b/>
                <w:color w:val="FFFFFF"/>
                <w:sz w:val="14"/>
              </w:rPr>
              <w:t>Record_ID</w:t>
            </w:r>
          </w:p>
        </w:tc>
        <w:tc>
          <w:tcPr>
            <w:tcW w:type="dxa" w:w="5184"/>
            <w:shd w:fill="D9EAF7"/>
            <w:tcBorders>
              <w:top w:val="single" w:sz="4" w:color="D9D9D9"/>
              <w:left w:val="single" w:sz="4" w:color="D9D9D9"/>
              <w:bottom w:val="single" w:sz="4" w:color="D9D9D9"/>
              <w:right w:val="single" w:sz="4" w:color="D9D9D9"/>
            </w:tcBorders>
            <w:vAlign w:val="center"/>
          </w:tcPr>
          <w:p>
            <w:r>
              <w:rPr>
                <w:b/>
                <w:color w:val="FFFFFF"/>
                <w:sz w:val="14"/>
              </w:rPr>
              <w:t>Citation</w:t>
            </w:r>
          </w:p>
        </w:tc>
        <w:tc>
          <w:tcPr>
            <w:tcW w:type="dxa" w:w="1728"/>
            <w:shd w:fill="D9EAF7"/>
            <w:tcBorders>
              <w:top w:val="single" w:sz="4" w:color="D9D9D9"/>
              <w:left w:val="single" w:sz="4" w:color="D9D9D9"/>
              <w:bottom w:val="single" w:sz="4" w:color="D9D9D9"/>
              <w:right w:val="single" w:sz="4" w:color="D9D9D9"/>
            </w:tcBorders>
            <w:vAlign w:val="center"/>
          </w:tcPr>
          <w:p>
            <w:r>
              <w:rPr>
                <w:b/>
                <w:color w:val="FFFFFF"/>
                <w:sz w:val="14"/>
              </w:rPr>
              <w:t>Identifier</w:t>
            </w:r>
          </w:p>
        </w:tc>
      </w:tr>
      <w:tr>
        <w:tc>
          <w:tcPr>
            <w:tcW w:type="dxa" w:w="576"/>
            <w:tcBorders>
              <w:top w:val="single" w:sz="4" w:color="D9D9D9"/>
              <w:left w:val="single" w:sz="4" w:color="D9D9D9"/>
              <w:bottom w:val="single" w:sz="4" w:color="D9D9D9"/>
              <w:right w:val="single" w:sz="4" w:color="D9D9D9"/>
            </w:tcBorders>
            <w:vAlign w:val="center"/>
          </w:tcPr>
          <w:p>
            <w:r>
              <w:rPr>
                <w:sz w:val="14"/>
              </w:rPr>
              <w:t>8</w:t>
            </w:r>
          </w:p>
        </w:tc>
        <w:tc>
          <w:tcPr>
            <w:tcW w:type="dxa" w:w="1008"/>
            <w:tcBorders>
              <w:top w:val="single" w:sz="4" w:color="D9D9D9"/>
              <w:left w:val="single" w:sz="4" w:color="D9D9D9"/>
              <w:bottom w:val="single" w:sz="4" w:color="D9D9D9"/>
              <w:right w:val="single" w:sz="4" w:color="D9D9D9"/>
            </w:tcBorders>
            <w:vAlign w:val="center"/>
          </w:tcPr>
          <w:p>
            <w:r>
              <w:rPr>
                <w:sz w:val="14"/>
              </w:rPr>
              <w:t>STUDY-001</w:t>
            </w:r>
          </w:p>
        </w:tc>
        <w:tc>
          <w:tcPr>
            <w:tcW w:type="dxa" w:w="1296"/>
            <w:tcBorders>
              <w:top w:val="single" w:sz="4" w:color="D9D9D9"/>
              <w:left w:val="single" w:sz="4" w:color="D9D9D9"/>
              <w:bottom w:val="single" w:sz="4" w:color="D9D9D9"/>
              <w:right w:val="single" w:sz="4" w:color="D9D9D9"/>
            </w:tcBorders>
            <w:vAlign w:val="center"/>
          </w:tcPr>
          <w:p>
            <w:r>
              <w:rPr>
                <w:sz w:val="14"/>
              </w:rPr>
              <w:t>REP-GI-0039</w:t>
            </w:r>
          </w:p>
        </w:tc>
        <w:tc>
          <w:tcPr>
            <w:tcW w:type="dxa" w:w="1008"/>
            <w:tcBorders>
              <w:top w:val="single" w:sz="4" w:color="D9D9D9"/>
              <w:left w:val="single" w:sz="4" w:color="D9D9D9"/>
              <w:bottom w:val="single" w:sz="4" w:color="D9D9D9"/>
              <w:right w:val="single" w:sz="4" w:color="D9D9D9"/>
            </w:tcBorders>
            <w:vAlign w:val="center"/>
          </w:tcPr>
          <w:p>
            <w:r>
              <w:rPr>
                <w:sz w:val="14"/>
              </w:rPr>
              <w:t>GI-0039</w:t>
            </w:r>
          </w:p>
        </w:tc>
        <w:tc>
          <w:tcPr>
            <w:tcW w:type="dxa" w:w="5184"/>
            <w:tcBorders>
              <w:top w:val="single" w:sz="4" w:color="D9D9D9"/>
              <w:left w:val="single" w:sz="4" w:color="D9D9D9"/>
              <w:bottom w:val="single" w:sz="4" w:color="D9D9D9"/>
              <w:right w:val="single" w:sz="4" w:color="D9D9D9"/>
            </w:tcBorders>
            <w:vAlign w:val="center"/>
          </w:tcPr>
          <w:p>
            <w:r>
              <w:rPr>
                <w:sz w:val="14"/>
              </w:rPr>
              <w:t>A physiological model for the investigation of esophageal motility in healthy and pathologic conditions. 2016 (2016).</w:t>
            </w:r>
          </w:p>
        </w:tc>
        <w:tc>
          <w:tcPr>
            <w:tcW w:type="dxa" w:w="1728"/>
            <w:tcBorders>
              <w:top w:val="single" w:sz="4" w:color="D9D9D9"/>
              <w:left w:val="single" w:sz="4" w:color="D9D9D9"/>
              <w:bottom w:val="single" w:sz="4" w:color="D9D9D9"/>
              <w:right w:val="single" w:sz="4" w:color="D9D9D9"/>
            </w:tcBorders>
            <w:vAlign w:val="center"/>
          </w:tcPr>
          <w:p>
            <w:r>
              <w:rPr>
                <w:sz w:val="14"/>
              </w:rPr>
              <w:t>10.1177/0954411916658915</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9</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STUDY-002</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REP-GI-0042</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GI-0042</w:t>
            </w:r>
          </w:p>
        </w:tc>
        <w:tc>
          <w:tcPr>
            <w:tcW w:type="dxa" w:w="5184"/>
            <w:tcBorders>
              <w:top w:val="single" w:sz="4" w:color="D9D9D9"/>
              <w:left w:val="single" w:sz="4" w:color="D9D9D9"/>
              <w:bottom w:val="single" w:sz="4" w:color="D9D9D9"/>
              <w:right w:val="single" w:sz="4" w:color="D9D9D9"/>
            </w:tcBorders>
            <w:vAlign w:val="center"/>
            <w:shd w:fill="F6F8FA"/>
          </w:tcPr>
          <w:p>
            <w:r>
              <w:rPr>
                <w:sz w:val="14"/>
              </w:rPr>
              <w:t>A Procedure for the Automatic Analysis of High-Resolution Manometry Data to Support the Clinical Diagnosis of Esophageal Motility Disorders. IEEE Transactions on Biomedical Engineering (2018).</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10.1109/tbme.2017.2758441</w:t>
            </w:r>
          </w:p>
        </w:tc>
      </w:tr>
      <w:tr>
        <w:tc>
          <w:tcPr>
            <w:tcW w:type="dxa" w:w="576"/>
            <w:tcBorders>
              <w:top w:val="single" w:sz="4" w:color="D9D9D9"/>
              <w:left w:val="single" w:sz="4" w:color="D9D9D9"/>
              <w:bottom w:val="single" w:sz="4" w:color="D9D9D9"/>
              <w:right w:val="single" w:sz="4" w:color="D9D9D9"/>
            </w:tcBorders>
            <w:vAlign w:val="center"/>
          </w:tcPr>
          <w:p>
            <w:r>
              <w:rPr>
                <w:sz w:val="14"/>
              </w:rPr>
              <w:t>10</w:t>
            </w:r>
          </w:p>
        </w:tc>
        <w:tc>
          <w:tcPr>
            <w:tcW w:type="dxa" w:w="1008"/>
            <w:tcBorders>
              <w:top w:val="single" w:sz="4" w:color="D9D9D9"/>
              <w:left w:val="single" w:sz="4" w:color="D9D9D9"/>
              <w:bottom w:val="single" w:sz="4" w:color="D9D9D9"/>
              <w:right w:val="single" w:sz="4" w:color="D9D9D9"/>
            </w:tcBorders>
            <w:vAlign w:val="center"/>
          </w:tcPr>
          <w:p>
            <w:r>
              <w:rPr>
                <w:sz w:val="14"/>
              </w:rPr>
              <w:t>STUDY-003</w:t>
            </w:r>
          </w:p>
        </w:tc>
        <w:tc>
          <w:tcPr>
            <w:tcW w:type="dxa" w:w="1296"/>
            <w:tcBorders>
              <w:top w:val="single" w:sz="4" w:color="D9D9D9"/>
              <w:left w:val="single" w:sz="4" w:color="D9D9D9"/>
              <w:bottom w:val="single" w:sz="4" w:color="D9D9D9"/>
              <w:right w:val="single" w:sz="4" w:color="D9D9D9"/>
            </w:tcBorders>
            <w:vAlign w:val="center"/>
          </w:tcPr>
          <w:p>
            <w:r>
              <w:rPr>
                <w:sz w:val="14"/>
              </w:rPr>
              <w:t>REP-GI-0052</w:t>
            </w:r>
          </w:p>
        </w:tc>
        <w:tc>
          <w:tcPr>
            <w:tcW w:type="dxa" w:w="1008"/>
            <w:tcBorders>
              <w:top w:val="single" w:sz="4" w:color="D9D9D9"/>
              <w:left w:val="single" w:sz="4" w:color="D9D9D9"/>
              <w:bottom w:val="single" w:sz="4" w:color="D9D9D9"/>
              <w:right w:val="single" w:sz="4" w:color="D9D9D9"/>
            </w:tcBorders>
            <w:vAlign w:val="center"/>
          </w:tcPr>
          <w:p>
            <w:r>
              <w:rPr>
                <w:sz w:val="14"/>
              </w:rPr>
              <w:t>GI-0052</w:t>
            </w:r>
          </w:p>
        </w:tc>
        <w:tc>
          <w:tcPr>
            <w:tcW w:type="dxa" w:w="5184"/>
            <w:tcBorders>
              <w:top w:val="single" w:sz="4" w:color="D9D9D9"/>
              <w:left w:val="single" w:sz="4" w:color="D9D9D9"/>
              <w:bottom w:val="single" w:sz="4" w:color="D9D9D9"/>
              <w:right w:val="single" w:sz="4" w:color="D9D9D9"/>
            </w:tcBorders>
            <w:vAlign w:val="center"/>
          </w:tcPr>
          <w:p>
            <w:r>
              <w:rPr>
                <w:sz w:val="14"/>
              </w:rPr>
              <w:t>Accurate Nonendoscopic Detection of Barrett's Esophagus by Methylated DNA Markers: A Multisite Case Control Study. American Journal of Gastroenterology (2020).</w:t>
            </w:r>
          </w:p>
        </w:tc>
        <w:tc>
          <w:tcPr>
            <w:tcW w:type="dxa" w:w="1728"/>
            <w:tcBorders>
              <w:top w:val="single" w:sz="4" w:color="D9D9D9"/>
              <w:left w:val="single" w:sz="4" w:color="D9D9D9"/>
              <w:bottom w:val="single" w:sz="4" w:color="D9D9D9"/>
              <w:right w:val="single" w:sz="4" w:color="D9D9D9"/>
            </w:tcBorders>
            <w:vAlign w:val="center"/>
          </w:tcPr>
          <w:p>
            <w:r>
              <w:rPr>
                <w:sz w:val="14"/>
              </w:rPr>
              <w:t>10.14309/ajg.0000000000000656</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11</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STUDY-004</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REP-GI-0097</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GI-0097</w:t>
            </w:r>
          </w:p>
        </w:tc>
        <w:tc>
          <w:tcPr>
            <w:tcW w:type="dxa" w:w="5184"/>
            <w:tcBorders>
              <w:top w:val="single" w:sz="4" w:color="D9D9D9"/>
              <w:left w:val="single" w:sz="4" w:color="D9D9D9"/>
              <w:bottom w:val="single" w:sz="4" w:color="D9D9D9"/>
              <w:right w:val="single" w:sz="4" w:color="D9D9D9"/>
            </w:tcBorders>
            <w:vAlign w:val="center"/>
            <w:shd w:fill="F6F8FA"/>
          </w:tcPr>
          <w:p>
            <w:r>
              <w:rPr>
                <w:sz w:val="14"/>
              </w:rPr>
              <w:t>Applying data mining techniques in the development of a diagnostics questionnaire for GERD.. Digestive diseases and sciences (2007).</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10.1007/s10620-006-9202-5</w:t>
            </w:r>
          </w:p>
        </w:tc>
      </w:tr>
      <w:tr>
        <w:tc>
          <w:tcPr>
            <w:tcW w:type="dxa" w:w="576"/>
            <w:tcBorders>
              <w:top w:val="single" w:sz="4" w:color="D9D9D9"/>
              <w:left w:val="single" w:sz="4" w:color="D9D9D9"/>
              <w:bottom w:val="single" w:sz="4" w:color="D9D9D9"/>
              <w:right w:val="single" w:sz="4" w:color="D9D9D9"/>
            </w:tcBorders>
            <w:vAlign w:val="center"/>
          </w:tcPr>
          <w:p>
            <w:r>
              <w:rPr>
                <w:sz w:val="14"/>
              </w:rPr>
              <w:t>12</w:t>
            </w:r>
          </w:p>
        </w:tc>
        <w:tc>
          <w:tcPr>
            <w:tcW w:type="dxa" w:w="1008"/>
            <w:tcBorders>
              <w:top w:val="single" w:sz="4" w:color="D9D9D9"/>
              <w:left w:val="single" w:sz="4" w:color="D9D9D9"/>
              <w:bottom w:val="single" w:sz="4" w:color="D9D9D9"/>
              <w:right w:val="single" w:sz="4" w:color="D9D9D9"/>
            </w:tcBorders>
            <w:vAlign w:val="center"/>
          </w:tcPr>
          <w:p>
            <w:r>
              <w:rPr>
                <w:sz w:val="14"/>
              </w:rPr>
              <w:t>STUDY-005</w:t>
            </w:r>
          </w:p>
        </w:tc>
        <w:tc>
          <w:tcPr>
            <w:tcW w:type="dxa" w:w="1296"/>
            <w:tcBorders>
              <w:top w:val="single" w:sz="4" w:color="D9D9D9"/>
              <w:left w:val="single" w:sz="4" w:color="D9D9D9"/>
              <w:bottom w:val="single" w:sz="4" w:color="D9D9D9"/>
              <w:right w:val="single" w:sz="4" w:color="D9D9D9"/>
            </w:tcBorders>
            <w:vAlign w:val="center"/>
          </w:tcPr>
          <w:p>
            <w:r>
              <w:rPr>
                <w:sz w:val="14"/>
              </w:rPr>
              <w:t>REP-GI-0116</w:t>
            </w:r>
          </w:p>
        </w:tc>
        <w:tc>
          <w:tcPr>
            <w:tcW w:type="dxa" w:w="1008"/>
            <w:tcBorders>
              <w:top w:val="single" w:sz="4" w:color="D9D9D9"/>
              <w:left w:val="single" w:sz="4" w:color="D9D9D9"/>
              <w:bottom w:val="single" w:sz="4" w:color="D9D9D9"/>
              <w:right w:val="single" w:sz="4" w:color="D9D9D9"/>
            </w:tcBorders>
            <w:vAlign w:val="center"/>
          </w:tcPr>
          <w:p>
            <w:r>
              <w:rPr>
                <w:sz w:val="14"/>
              </w:rPr>
              <w:t>GI-0116</w:t>
            </w:r>
          </w:p>
        </w:tc>
        <w:tc>
          <w:tcPr>
            <w:tcW w:type="dxa" w:w="5184"/>
            <w:tcBorders>
              <w:top w:val="single" w:sz="4" w:color="D9D9D9"/>
              <w:left w:val="single" w:sz="4" w:color="D9D9D9"/>
              <w:bottom w:val="single" w:sz="4" w:color="D9D9D9"/>
              <w:right w:val="single" w:sz="4" w:color="D9D9D9"/>
            </w:tcBorders>
            <w:vAlign w:val="center"/>
          </w:tcPr>
          <w:p>
            <w:r>
              <w:rPr>
                <w:sz w:val="14"/>
              </w:rPr>
              <w:t>Artificial neural networks are able to recognize gastro-oesophageal reflux disease patients solely on the basis of clinical data.. European journal of gastroenterology &amp; hepatology (2005).</w:t>
            </w:r>
          </w:p>
        </w:tc>
        <w:tc>
          <w:tcPr>
            <w:tcW w:type="dxa" w:w="1728"/>
            <w:tcBorders>
              <w:top w:val="single" w:sz="4" w:color="D9D9D9"/>
              <w:left w:val="single" w:sz="4" w:color="D9D9D9"/>
              <w:bottom w:val="single" w:sz="4" w:color="D9D9D9"/>
              <w:right w:val="single" w:sz="4" w:color="D9D9D9"/>
            </w:tcBorders>
            <w:vAlign w:val="center"/>
          </w:tcPr>
          <w:p>
            <w:r>
              <w:rPr>
                <w:sz w:val="14"/>
              </w:rPr>
              <w:t>10.1097/00042737-200506000-00003</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13</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STUDY-006</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REP-GI-0132</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GI-0132</w:t>
            </w:r>
          </w:p>
        </w:tc>
        <w:tc>
          <w:tcPr>
            <w:tcW w:type="dxa" w:w="5184"/>
            <w:tcBorders>
              <w:top w:val="single" w:sz="4" w:color="D9D9D9"/>
              <w:left w:val="single" w:sz="4" w:color="D9D9D9"/>
              <w:bottom w:val="single" w:sz="4" w:color="D9D9D9"/>
              <w:right w:val="single" w:sz="4" w:color="D9D9D9"/>
            </w:tcBorders>
            <w:vAlign w:val="center"/>
            <w:shd w:fill="F6F8FA"/>
          </w:tcPr>
          <w:p>
            <w:r>
              <w:rPr>
                <w:sz w:val="14"/>
              </w:rPr>
              <w:t>Automated software-derived supine baseline impedance is highly correlated with manual nocturnal baseline impedance for the diagnosis of GERD.. Neurogastroenterology and motility (2024).</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10.1111/nmo.14861</w:t>
            </w:r>
          </w:p>
        </w:tc>
      </w:tr>
      <w:tr>
        <w:tc>
          <w:tcPr>
            <w:tcW w:type="dxa" w:w="576"/>
            <w:tcBorders>
              <w:top w:val="single" w:sz="4" w:color="D9D9D9"/>
              <w:left w:val="single" w:sz="4" w:color="D9D9D9"/>
              <w:bottom w:val="single" w:sz="4" w:color="D9D9D9"/>
              <w:right w:val="single" w:sz="4" w:color="D9D9D9"/>
            </w:tcBorders>
            <w:vAlign w:val="center"/>
          </w:tcPr>
          <w:p>
            <w:r>
              <w:rPr>
                <w:sz w:val="14"/>
              </w:rPr>
              <w:t>14</w:t>
            </w:r>
          </w:p>
        </w:tc>
        <w:tc>
          <w:tcPr>
            <w:tcW w:type="dxa" w:w="1008"/>
            <w:tcBorders>
              <w:top w:val="single" w:sz="4" w:color="D9D9D9"/>
              <w:left w:val="single" w:sz="4" w:color="D9D9D9"/>
              <w:bottom w:val="single" w:sz="4" w:color="D9D9D9"/>
              <w:right w:val="single" w:sz="4" w:color="D9D9D9"/>
            </w:tcBorders>
            <w:vAlign w:val="center"/>
          </w:tcPr>
          <w:p>
            <w:r>
              <w:rPr>
                <w:sz w:val="14"/>
              </w:rPr>
              <w:t>STUDY-007</w:t>
            </w:r>
          </w:p>
        </w:tc>
        <w:tc>
          <w:tcPr>
            <w:tcW w:type="dxa" w:w="1296"/>
            <w:tcBorders>
              <w:top w:val="single" w:sz="4" w:color="D9D9D9"/>
              <w:left w:val="single" w:sz="4" w:color="D9D9D9"/>
              <w:bottom w:val="single" w:sz="4" w:color="D9D9D9"/>
              <w:right w:val="single" w:sz="4" w:color="D9D9D9"/>
            </w:tcBorders>
            <w:vAlign w:val="center"/>
          </w:tcPr>
          <w:p>
            <w:r>
              <w:rPr>
                <w:sz w:val="14"/>
              </w:rPr>
              <w:t>REP-GI-0144</w:t>
            </w:r>
          </w:p>
        </w:tc>
        <w:tc>
          <w:tcPr>
            <w:tcW w:type="dxa" w:w="1008"/>
            <w:tcBorders>
              <w:top w:val="single" w:sz="4" w:color="D9D9D9"/>
              <w:left w:val="single" w:sz="4" w:color="D9D9D9"/>
              <w:bottom w:val="single" w:sz="4" w:color="D9D9D9"/>
              <w:right w:val="single" w:sz="4" w:color="D9D9D9"/>
            </w:tcBorders>
            <w:vAlign w:val="center"/>
          </w:tcPr>
          <w:p>
            <w:r>
              <w:rPr>
                <w:sz w:val="14"/>
              </w:rPr>
              <w:t>GI-0144</w:t>
            </w:r>
          </w:p>
        </w:tc>
        <w:tc>
          <w:tcPr>
            <w:tcW w:type="dxa" w:w="5184"/>
            <w:tcBorders>
              <w:top w:val="single" w:sz="4" w:color="D9D9D9"/>
              <w:left w:val="single" w:sz="4" w:color="D9D9D9"/>
              <w:bottom w:val="single" w:sz="4" w:color="D9D9D9"/>
              <w:right w:val="single" w:sz="4" w:color="D9D9D9"/>
            </w:tcBorders>
            <w:vAlign w:val="center"/>
          </w:tcPr>
          <w:p>
            <w:r>
              <w:rPr>
                <w:sz w:val="14"/>
              </w:rPr>
              <w:t>Calculation of upper esophageal sphincter restitution time from high resolution manometry data using machine learning.. PHYSIOLOGY &amp; BEHAVIOR (2016).</w:t>
            </w:r>
          </w:p>
        </w:tc>
        <w:tc>
          <w:tcPr>
            <w:tcW w:type="dxa" w:w="1728"/>
            <w:tcBorders>
              <w:top w:val="single" w:sz="4" w:color="D9D9D9"/>
              <w:left w:val="single" w:sz="4" w:color="D9D9D9"/>
              <w:bottom w:val="single" w:sz="4" w:color="D9D9D9"/>
              <w:right w:val="single" w:sz="4" w:color="D9D9D9"/>
            </w:tcBorders>
            <w:vAlign w:val="center"/>
          </w:tcPr>
          <w:p>
            <w:r>
              <w:rPr>
                <w:sz w:val="14"/>
              </w:rPr>
              <w:t>10.1016/j.physbeh.2016.08.005</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15</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STUDY-008</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REP-GI-0165</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GI-0165</w:t>
            </w:r>
          </w:p>
        </w:tc>
        <w:tc>
          <w:tcPr>
            <w:tcW w:type="dxa" w:w="5184"/>
            <w:tcBorders>
              <w:top w:val="single" w:sz="4" w:color="D9D9D9"/>
              <w:left w:val="single" w:sz="4" w:color="D9D9D9"/>
              <w:bottom w:val="single" w:sz="4" w:color="D9D9D9"/>
              <w:right w:val="single" w:sz="4" w:color="D9D9D9"/>
            </w:tcBorders>
            <w:vAlign w:val="center"/>
            <w:shd w:fill="F6F8FA"/>
          </w:tcPr>
          <w:p>
            <w:r>
              <w:rPr>
                <w:sz w:val="14"/>
              </w:rPr>
              <w:t>Classification of normal and dysphagia in patients with GERD using swallowing sound analysis. 2017 Artificial Intelligence and Signal Processing Conference (AISP) (2017).</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10.1109/aisp.2017.8324095</w:t>
            </w:r>
          </w:p>
        </w:tc>
      </w:tr>
      <w:tr>
        <w:tc>
          <w:tcPr>
            <w:tcW w:type="dxa" w:w="576"/>
            <w:tcBorders>
              <w:top w:val="single" w:sz="4" w:color="D9D9D9"/>
              <w:left w:val="single" w:sz="4" w:color="D9D9D9"/>
              <w:bottom w:val="single" w:sz="4" w:color="D9D9D9"/>
              <w:right w:val="single" w:sz="4" w:color="D9D9D9"/>
            </w:tcBorders>
            <w:vAlign w:val="center"/>
          </w:tcPr>
          <w:p>
            <w:r>
              <w:rPr>
                <w:sz w:val="14"/>
              </w:rPr>
              <w:t>16</w:t>
            </w:r>
          </w:p>
        </w:tc>
        <w:tc>
          <w:tcPr>
            <w:tcW w:type="dxa" w:w="1008"/>
            <w:tcBorders>
              <w:top w:val="single" w:sz="4" w:color="D9D9D9"/>
              <w:left w:val="single" w:sz="4" w:color="D9D9D9"/>
              <w:bottom w:val="single" w:sz="4" w:color="D9D9D9"/>
              <w:right w:val="single" w:sz="4" w:color="D9D9D9"/>
            </w:tcBorders>
            <w:vAlign w:val="center"/>
          </w:tcPr>
          <w:p>
            <w:r>
              <w:rPr>
                <w:sz w:val="14"/>
              </w:rPr>
              <w:t>STUDY-009</w:t>
            </w:r>
          </w:p>
        </w:tc>
        <w:tc>
          <w:tcPr>
            <w:tcW w:type="dxa" w:w="1296"/>
            <w:tcBorders>
              <w:top w:val="single" w:sz="4" w:color="D9D9D9"/>
              <w:left w:val="single" w:sz="4" w:color="D9D9D9"/>
              <w:bottom w:val="single" w:sz="4" w:color="D9D9D9"/>
              <w:right w:val="single" w:sz="4" w:color="D9D9D9"/>
            </w:tcBorders>
            <w:vAlign w:val="center"/>
          </w:tcPr>
          <w:p>
            <w:r>
              <w:rPr>
                <w:sz w:val="14"/>
              </w:rPr>
              <w:t>REP-GI-0209</w:t>
            </w:r>
          </w:p>
        </w:tc>
        <w:tc>
          <w:tcPr>
            <w:tcW w:type="dxa" w:w="1008"/>
            <w:tcBorders>
              <w:top w:val="single" w:sz="4" w:color="D9D9D9"/>
              <w:left w:val="single" w:sz="4" w:color="D9D9D9"/>
              <w:bottom w:val="single" w:sz="4" w:color="D9D9D9"/>
              <w:right w:val="single" w:sz="4" w:color="D9D9D9"/>
            </w:tcBorders>
            <w:vAlign w:val="center"/>
          </w:tcPr>
          <w:p>
            <w:r>
              <w:rPr>
                <w:sz w:val="14"/>
              </w:rPr>
              <w:t>GI-0209</w:t>
            </w:r>
          </w:p>
        </w:tc>
        <w:tc>
          <w:tcPr>
            <w:tcW w:type="dxa" w:w="5184"/>
            <w:tcBorders>
              <w:top w:val="single" w:sz="4" w:color="D9D9D9"/>
              <w:left w:val="single" w:sz="4" w:color="D9D9D9"/>
              <w:bottom w:val="single" w:sz="4" w:color="D9D9D9"/>
              <w:right w:val="single" w:sz="4" w:color="D9D9D9"/>
            </w:tcBorders>
            <w:vAlign w:val="center"/>
          </w:tcPr>
          <w:p>
            <w:r>
              <w:rPr>
                <w:sz w:val="14"/>
              </w:rPr>
              <w:t>DETECTION OF MINIMALLY INVASIVE BIOMARKERS FOR PEDIATRIC EOSINOPHILIC ESOPHAGITIS. Gastroenterology (2024).</w:t>
            </w:r>
          </w:p>
        </w:tc>
        <w:tc>
          <w:tcPr>
            <w:tcW w:type="dxa" w:w="1728"/>
            <w:tcBorders>
              <w:top w:val="single" w:sz="4" w:color="D9D9D9"/>
              <w:left w:val="single" w:sz="4" w:color="D9D9D9"/>
              <w:bottom w:val="single" w:sz="4" w:color="D9D9D9"/>
              <w:right w:val="single" w:sz="4" w:color="D9D9D9"/>
            </w:tcBorders>
            <w:vAlign w:val="center"/>
          </w:tcPr>
          <w:p>
            <w:r>
              <w:rPr>
                <w:sz w:val="14"/>
              </w:rPr>
              <w:t>10.1016/s0016-5085(24)02136-x</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17</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STUDY-010</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REP-GI-0211</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GI-0211</w:t>
            </w:r>
          </w:p>
        </w:tc>
        <w:tc>
          <w:tcPr>
            <w:tcW w:type="dxa" w:w="5184"/>
            <w:tcBorders>
              <w:top w:val="single" w:sz="4" w:color="D9D9D9"/>
              <w:left w:val="single" w:sz="4" w:color="D9D9D9"/>
              <w:bottom w:val="single" w:sz="4" w:color="D9D9D9"/>
              <w:right w:val="single" w:sz="4" w:color="D9D9D9"/>
            </w:tcBorders>
            <w:vAlign w:val="center"/>
            <w:shd w:fill="F6F8FA"/>
          </w:tcPr>
          <w:p>
            <w:r>
              <w:rPr>
                <w:sz w:val="14"/>
              </w:rPr>
              <w:t>Developing a digital analysis algorithm to count intraepithelial eosinophils on H&amp;E stained sections for diagnosis of eosinophilic esophagitis. Laboratory Investigation (2011).</w:t>
            </w:r>
          </w:p>
        </w:tc>
        <w:tc>
          <w:tcPr>
            <w:tcW w:type="dxa" w:w="1728"/>
            <w:tcBorders>
              <w:top w:val="single" w:sz="4" w:color="D9D9D9"/>
              <w:left w:val="single" w:sz="4" w:color="D9D9D9"/>
              <w:bottom w:val="single" w:sz="4" w:color="D9D9D9"/>
              <w:right w:val="single" w:sz="4" w:color="D9D9D9"/>
            </w:tcBorders>
            <w:vAlign w:val="center"/>
            <w:shd w:fill="F6F8FA"/>
          </w:tcPr>
          <w:p>
            <w:r>
              <w:rPr>
                <w:sz w:val="14"/>
              </w:rPr>
              <w:t>Embase L70425859</w:t>
            </w:r>
          </w:p>
        </w:tc>
      </w:tr>
      <w:tr>
        <w:tc>
          <w:tcPr>
            <w:tcW w:type="dxa" w:w="576"/>
            <w:tcBorders>
              <w:top w:val="single" w:sz="4" w:color="D9D9D9"/>
              <w:left w:val="single" w:sz="4" w:color="D9D9D9"/>
              <w:bottom w:val="single" w:sz="4" w:color="D9D9D9"/>
              <w:right w:val="single" w:sz="4" w:color="D9D9D9"/>
            </w:tcBorders>
            <w:vAlign w:val="center"/>
          </w:tcPr>
          <w:p>
            <w:r>
              <w:rPr>
                <w:sz w:val="14"/>
              </w:rPr>
              <w:t>18</w:t>
            </w:r>
          </w:p>
        </w:tc>
        <w:tc>
          <w:tcPr>
            <w:tcW w:type="dxa" w:w="1008"/>
            <w:tcBorders>
              <w:top w:val="single" w:sz="4" w:color="D9D9D9"/>
              <w:left w:val="single" w:sz="4" w:color="D9D9D9"/>
              <w:bottom w:val="single" w:sz="4" w:color="D9D9D9"/>
              <w:right w:val="single" w:sz="4" w:color="D9D9D9"/>
            </w:tcBorders>
            <w:vAlign w:val="center"/>
          </w:tcPr>
          <w:p>
            <w:r>
              <w:rPr>
                <w:sz w:val="14"/>
              </w:rPr>
              <w:t>STUDY-011</w:t>
            </w:r>
          </w:p>
        </w:tc>
        <w:tc>
          <w:tcPr>
            <w:tcW w:type="dxa" w:w="1296"/>
            <w:tcBorders>
              <w:top w:val="single" w:sz="4" w:color="D9D9D9"/>
              <w:left w:val="single" w:sz="4" w:color="D9D9D9"/>
              <w:bottom w:val="single" w:sz="4" w:color="D9D9D9"/>
              <w:right w:val="single" w:sz="4" w:color="D9D9D9"/>
            </w:tcBorders>
            <w:vAlign w:val="center"/>
          </w:tcPr>
          <w:p>
            <w:r>
              <w:rPr>
                <w:sz w:val="14"/>
              </w:rPr>
              <w:t>REP-GI-0213</w:t>
            </w:r>
          </w:p>
        </w:tc>
        <w:tc>
          <w:tcPr>
            <w:tcW w:type="dxa" w:w="1008"/>
            <w:tcBorders>
              <w:top w:val="single" w:sz="4" w:color="D9D9D9"/>
              <w:left w:val="single" w:sz="4" w:color="D9D9D9"/>
              <w:bottom w:val="single" w:sz="4" w:color="D9D9D9"/>
              <w:right w:val="single" w:sz="4" w:color="D9D9D9"/>
            </w:tcBorders>
            <w:vAlign w:val="center"/>
          </w:tcPr>
          <w:p>
            <w:r>
              <w:rPr>
                <w:sz w:val="14"/>
              </w:rPr>
              <w:t>GI-0213</w:t>
            </w:r>
          </w:p>
        </w:tc>
        <w:tc>
          <w:tcPr>
            <w:tcW w:type="dxa" w:w="5184"/>
            <w:tcBorders>
              <w:top w:val="single" w:sz="4" w:color="D9D9D9"/>
              <w:left w:val="single" w:sz="4" w:color="D9D9D9"/>
              <w:bottom w:val="single" w:sz="4" w:color="D9D9D9"/>
              <w:right w:val="single" w:sz="4" w:color="D9D9D9"/>
            </w:tcBorders>
            <w:vAlign w:val="center"/>
          </w:tcPr>
          <w:p>
            <w:r>
              <w:rPr>
                <w:sz w:val="14"/>
              </w:rPr>
              <w:t>Development and Validation of a Large Language Model Case Identification Strategy for Eosinophilic Esophagitis.. GASTRO HEP ADVANCES (2026).</w:t>
            </w:r>
          </w:p>
        </w:tc>
        <w:tc>
          <w:tcPr>
            <w:tcW w:type="dxa" w:w="1728"/>
            <w:tcBorders>
              <w:top w:val="single" w:sz="4" w:color="D9D9D9"/>
              <w:left w:val="single" w:sz="4" w:color="D9D9D9"/>
              <w:bottom w:val="single" w:sz="4" w:color="D9D9D9"/>
              <w:right w:val="single" w:sz="4" w:color="D9D9D9"/>
            </w:tcBorders>
            <w:vAlign w:val="center"/>
          </w:tcPr>
          <w:p>
            <w:r>
              <w:rPr>
                <w:sz w:val="14"/>
              </w:rPr>
              <w:t>10.1016/j.gastha.2026.100971</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19</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STUDY-012</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REP-GI-0237</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GI-0237</w:t>
            </w:r>
          </w:p>
        </w:tc>
        <w:tc>
          <w:tcPr>
            <w:tcW w:type="dxa" w:w="5184"/>
            <w:tcBorders>
              <w:top w:val="single" w:sz="4" w:color="D9D9D9"/>
              <w:left w:val="single" w:sz="4" w:color="D9D9D9"/>
              <w:bottom w:val="single" w:sz="4" w:color="D9D9D9"/>
              <w:right w:val="single" w:sz="4" w:color="D9D9D9"/>
            </w:tcBorders>
            <w:vAlign w:val="center"/>
            <w:shd w:fill="F6F8FA"/>
          </w:tcPr>
          <w:p>
            <w:r>
              <w:rPr>
                <w:sz w:val="14"/>
              </w:rPr>
              <w:t>Discovery of Methylated DNA Biomarkers for Potential Nonendoscopic Detection of Barrett's Esophagus and Esophageal Adenocarcinoma. American Journal of Gastroenterology (2025).</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10.14309/ajg.0000000000003323</w:t>
            </w:r>
          </w:p>
        </w:tc>
      </w:tr>
      <w:tr>
        <w:tc>
          <w:tcPr>
            <w:tcW w:type="dxa" w:w="576"/>
            <w:tcBorders>
              <w:top w:val="single" w:sz="4" w:color="D9D9D9"/>
              <w:left w:val="single" w:sz="4" w:color="D9D9D9"/>
              <w:bottom w:val="single" w:sz="4" w:color="D9D9D9"/>
              <w:right w:val="single" w:sz="4" w:color="D9D9D9"/>
            </w:tcBorders>
            <w:vAlign w:val="center"/>
          </w:tcPr>
          <w:p>
            <w:r>
              <w:rPr>
                <w:sz w:val="14"/>
              </w:rPr>
              <w:t>20</w:t>
            </w:r>
          </w:p>
        </w:tc>
        <w:tc>
          <w:tcPr>
            <w:tcW w:type="dxa" w:w="1008"/>
            <w:tcBorders>
              <w:top w:val="single" w:sz="4" w:color="D9D9D9"/>
              <w:left w:val="single" w:sz="4" w:color="D9D9D9"/>
              <w:bottom w:val="single" w:sz="4" w:color="D9D9D9"/>
              <w:right w:val="single" w:sz="4" w:color="D9D9D9"/>
            </w:tcBorders>
            <w:vAlign w:val="center"/>
          </w:tcPr>
          <w:p>
            <w:r>
              <w:rPr>
                <w:sz w:val="14"/>
              </w:rPr>
              <w:t>STUDY-013</w:t>
            </w:r>
          </w:p>
        </w:tc>
        <w:tc>
          <w:tcPr>
            <w:tcW w:type="dxa" w:w="1296"/>
            <w:tcBorders>
              <w:top w:val="single" w:sz="4" w:color="D9D9D9"/>
              <w:left w:val="single" w:sz="4" w:color="D9D9D9"/>
              <w:bottom w:val="single" w:sz="4" w:color="D9D9D9"/>
              <w:right w:val="single" w:sz="4" w:color="D9D9D9"/>
            </w:tcBorders>
            <w:vAlign w:val="center"/>
          </w:tcPr>
          <w:p>
            <w:r>
              <w:rPr>
                <w:sz w:val="14"/>
              </w:rPr>
              <w:t>REP-GI-0275</w:t>
            </w:r>
          </w:p>
        </w:tc>
        <w:tc>
          <w:tcPr>
            <w:tcW w:type="dxa" w:w="1008"/>
            <w:tcBorders>
              <w:top w:val="single" w:sz="4" w:color="D9D9D9"/>
              <w:left w:val="single" w:sz="4" w:color="D9D9D9"/>
              <w:bottom w:val="single" w:sz="4" w:color="D9D9D9"/>
              <w:right w:val="single" w:sz="4" w:color="D9D9D9"/>
            </w:tcBorders>
            <w:vAlign w:val="center"/>
          </w:tcPr>
          <w:p>
            <w:r>
              <w:rPr>
                <w:sz w:val="14"/>
              </w:rPr>
              <w:t>GI-0275</w:t>
            </w:r>
          </w:p>
        </w:tc>
        <w:tc>
          <w:tcPr>
            <w:tcW w:type="dxa" w:w="5184"/>
            <w:tcBorders>
              <w:top w:val="single" w:sz="4" w:color="D9D9D9"/>
              <w:left w:val="single" w:sz="4" w:color="D9D9D9"/>
              <w:bottom w:val="single" w:sz="4" w:color="D9D9D9"/>
              <w:right w:val="single" w:sz="4" w:color="D9D9D9"/>
            </w:tcBorders>
            <w:vAlign w:val="center"/>
          </w:tcPr>
          <w:p>
            <w:r>
              <w:rPr>
                <w:sz w:val="14"/>
              </w:rPr>
              <w:t>Enhanced Runge-Kutta-driven feature selection model for early detection of gastroesophageal reflux disease.. Computers in biology and medicine (2024).</w:t>
            </w:r>
          </w:p>
        </w:tc>
        <w:tc>
          <w:tcPr>
            <w:tcW w:type="dxa" w:w="1728"/>
            <w:tcBorders>
              <w:top w:val="single" w:sz="4" w:color="D9D9D9"/>
              <w:left w:val="single" w:sz="4" w:color="D9D9D9"/>
              <w:bottom w:val="single" w:sz="4" w:color="D9D9D9"/>
              <w:right w:val="single" w:sz="4" w:color="D9D9D9"/>
            </w:tcBorders>
            <w:vAlign w:val="center"/>
          </w:tcPr>
          <w:p>
            <w:r>
              <w:rPr>
                <w:sz w:val="14"/>
              </w:rPr>
              <w:t>10.1016/j.compbiomed.2024.108394</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21</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STUDY-014</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REP-GI-0278</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GI-0278</w:t>
            </w:r>
          </w:p>
        </w:tc>
        <w:tc>
          <w:tcPr>
            <w:tcW w:type="dxa" w:w="5184"/>
            <w:tcBorders>
              <w:top w:val="single" w:sz="4" w:color="D9D9D9"/>
              <w:left w:val="single" w:sz="4" w:color="D9D9D9"/>
              <w:bottom w:val="single" w:sz="4" w:color="D9D9D9"/>
              <w:right w:val="single" w:sz="4" w:color="D9D9D9"/>
            </w:tcBorders>
            <w:vAlign w:val="center"/>
            <w:shd w:fill="F6F8FA"/>
          </w:tcPr>
          <w:p>
            <w:r>
              <w:rPr>
                <w:sz w:val="14"/>
              </w:rPr>
              <w:t>Entropy-driven decision tree building for decision support in gastroenterology.. Studies in health technology and informatics (2013).</w:t>
            </w:r>
          </w:p>
        </w:tc>
        <w:tc>
          <w:tcPr>
            <w:tcW w:type="dxa" w:w="1728"/>
            <w:tcBorders>
              <w:top w:val="single" w:sz="4" w:color="D9D9D9"/>
              <w:left w:val="single" w:sz="4" w:color="D9D9D9"/>
              <w:bottom w:val="single" w:sz="4" w:color="D9D9D9"/>
              <w:right w:val="single" w:sz="4" w:color="D9D9D9"/>
            </w:tcBorders>
            <w:vAlign w:val="center"/>
            <w:shd w:fill="F6F8FA"/>
          </w:tcPr>
          <w:p>
            <w:r>
              <w:rPr>
                <w:sz w:val="14"/>
              </w:rPr>
              <w:t>23542975</w:t>
            </w:r>
          </w:p>
        </w:tc>
      </w:tr>
      <w:tr>
        <w:tc>
          <w:tcPr>
            <w:tcW w:type="dxa" w:w="576"/>
            <w:tcBorders>
              <w:top w:val="single" w:sz="4" w:color="D9D9D9"/>
              <w:left w:val="single" w:sz="4" w:color="D9D9D9"/>
              <w:bottom w:val="single" w:sz="4" w:color="D9D9D9"/>
              <w:right w:val="single" w:sz="4" w:color="D9D9D9"/>
            </w:tcBorders>
            <w:vAlign w:val="center"/>
          </w:tcPr>
          <w:p>
            <w:r>
              <w:rPr>
                <w:sz w:val="14"/>
              </w:rPr>
              <w:t>22</w:t>
            </w:r>
          </w:p>
        </w:tc>
        <w:tc>
          <w:tcPr>
            <w:tcW w:type="dxa" w:w="1008"/>
            <w:tcBorders>
              <w:top w:val="single" w:sz="4" w:color="D9D9D9"/>
              <w:left w:val="single" w:sz="4" w:color="D9D9D9"/>
              <w:bottom w:val="single" w:sz="4" w:color="D9D9D9"/>
              <w:right w:val="single" w:sz="4" w:color="D9D9D9"/>
            </w:tcBorders>
            <w:vAlign w:val="center"/>
          </w:tcPr>
          <w:p>
            <w:r>
              <w:rPr>
                <w:sz w:val="14"/>
              </w:rPr>
              <w:t>STUDY-015</w:t>
            </w:r>
          </w:p>
        </w:tc>
        <w:tc>
          <w:tcPr>
            <w:tcW w:type="dxa" w:w="1296"/>
            <w:tcBorders>
              <w:top w:val="single" w:sz="4" w:color="D9D9D9"/>
              <w:left w:val="single" w:sz="4" w:color="D9D9D9"/>
              <w:bottom w:val="single" w:sz="4" w:color="D9D9D9"/>
              <w:right w:val="single" w:sz="4" w:color="D9D9D9"/>
            </w:tcBorders>
            <w:vAlign w:val="center"/>
          </w:tcPr>
          <w:p>
            <w:r>
              <w:rPr>
                <w:sz w:val="14"/>
              </w:rPr>
              <w:t>REP-GI-0296</w:t>
            </w:r>
          </w:p>
        </w:tc>
        <w:tc>
          <w:tcPr>
            <w:tcW w:type="dxa" w:w="1008"/>
            <w:tcBorders>
              <w:top w:val="single" w:sz="4" w:color="D9D9D9"/>
              <w:left w:val="single" w:sz="4" w:color="D9D9D9"/>
              <w:bottom w:val="single" w:sz="4" w:color="D9D9D9"/>
              <w:right w:val="single" w:sz="4" w:color="D9D9D9"/>
            </w:tcBorders>
            <w:vAlign w:val="center"/>
          </w:tcPr>
          <w:p>
            <w:r>
              <w:rPr>
                <w:sz w:val="14"/>
              </w:rPr>
              <w:t>GI-0296</w:t>
            </w:r>
          </w:p>
        </w:tc>
        <w:tc>
          <w:tcPr>
            <w:tcW w:type="dxa" w:w="5184"/>
            <w:tcBorders>
              <w:top w:val="single" w:sz="4" w:color="D9D9D9"/>
              <w:left w:val="single" w:sz="4" w:color="D9D9D9"/>
              <w:bottom w:val="single" w:sz="4" w:color="D9D9D9"/>
              <w:right w:val="single" w:sz="4" w:color="D9D9D9"/>
            </w:tcBorders>
            <w:vAlign w:val="center"/>
          </w:tcPr>
          <w:p>
            <w:r>
              <w:rPr>
                <w:sz w:val="14"/>
              </w:rPr>
              <w:t>Esophageal tissue segmentation on OCT images with hybrid attention network.. MULTIMEDIA TOOLS AND APPLICATIONS (2023).</w:t>
            </w:r>
          </w:p>
        </w:tc>
        <w:tc>
          <w:tcPr>
            <w:tcW w:type="dxa" w:w="1728"/>
            <w:tcBorders>
              <w:top w:val="single" w:sz="4" w:color="D9D9D9"/>
              <w:left w:val="single" w:sz="4" w:color="D9D9D9"/>
              <w:bottom w:val="single" w:sz="4" w:color="D9D9D9"/>
              <w:right w:val="single" w:sz="4" w:color="D9D9D9"/>
            </w:tcBorders>
            <w:vAlign w:val="center"/>
          </w:tcPr>
          <w:p>
            <w:r>
              <w:rPr>
                <w:sz w:val="14"/>
              </w:rPr>
              <w:t>10.1007/s11042-023-16550-z</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23</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STUDY-016</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REP-GI-0305</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GI-0305</w:t>
            </w:r>
          </w:p>
        </w:tc>
        <w:tc>
          <w:tcPr>
            <w:tcW w:type="dxa" w:w="5184"/>
            <w:tcBorders>
              <w:top w:val="single" w:sz="4" w:color="D9D9D9"/>
              <w:left w:val="single" w:sz="4" w:color="D9D9D9"/>
              <w:bottom w:val="single" w:sz="4" w:color="D9D9D9"/>
              <w:right w:val="single" w:sz="4" w:color="D9D9D9"/>
            </w:tcBorders>
            <w:vAlign w:val="center"/>
            <w:shd w:fill="F6F8FA"/>
          </w:tcPr>
          <w:p>
            <w:r>
              <w:rPr>
                <w:sz w:val="14"/>
              </w:rPr>
              <w:t>Evaluation of artificial neural networks in the classification of primary oesophageal dysmotility.. Scandinavian Journal of Gastroenterology (2006).</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10.1080/00365520500234030</w:t>
            </w:r>
          </w:p>
        </w:tc>
      </w:tr>
      <w:tr>
        <w:tc>
          <w:tcPr>
            <w:tcW w:type="dxa" w:w="576"/>
            <w:tcBorders>
              <w:top w:val="single" w:sz="4" w:color="D9D9D9"/>
              <w:left w:val="single" w:sz="4" w:color="D9D9D9"/>
              <w:bottom w:val="single" w:sz="4" w:color="D9D9D9"/>
              <w:right w:val="single" w:sz="4" w:color="D9D9D9"/>
            </w:tcBorders>
            <w:vAlign w:val="center"/>
          </w:tcPr>
          <w:p>
            <w:r>
              <w:rPr>
                <w:sz w:val="14"/>
              </w:rPr>
              <w:t>24</w:t>
            </w:r>
          </w:p>
        </w:tc>
        <w:tc>
          <w:tcPr>
            <w:tcW w:type="dxa" w:w="1008"/>
            <w:tcBorders>
              <w:top w:val="single" w:sz="4" w:color="D9D9D9"/>
              <w:left w:val="single" w:sz="4" w:color="D9D9D9"/>
              <w:bottom w:val="single" w:sz="4" w:color="D9D9D9"/>
              <w:right w:val="single" w:sz="4" w:color="D9D9D9"/>
            </w:tcBorders>
            <w:vAlign w:val="center"/>
          </w:tcPr>
          <w:p>
            <w:r>
              <w:rPr>
                <w:sz w:val="14"/>
              </w:rPr>
              <w:t>STUDY-017</w:t>
            </w:r>
          </w:p>
        </w:tc>
        <w:tc>
          <w:tcPr>
            <w:tcW w:type="dxa" w:w="1296"/>
            <w:tcBorders>
              <w:top w:val="single" w:sz="4" w:color="D9D9D9"/>
              <w:left w:val="single" w:sz="4" w:color="D9D9D9"/>
              <w:bottom w:val="single" w:sz="4" w:color="D9D9D9"/>
              <w:right w:val="single" w:sz="4" w:color="D9D9D9"/>
            </w:tcBorders>
            <w:vAlign w:val="center"/>
          </w:tcPr>
          <w:p>
            <w:r>
              <w:rPr>
                <w:sz w:val="14"/>
              </w:rPr>
              <w:t>REP-GI-0330</w:t>
            </w:r>
          </w:p>
        </w:tc>
        <w:tc>
          <w:tcPr>
            <w:tcW w:type="dxa" w:w="1008"/>
            <w:tcBorders>
              <w:top w:val="single" w:sz="4" w:color="D9D9D9"/>
              <w:left w:val="single" w:sz="4" w:color="D9D9D9"/>
              <w:bottom w:val="single" w:sz="4" w:color="D9D9D9"/>
              <w:right w:val="single" w:sz="4" w:color="D9D9D9"/>
            </w:tcBorders>
            <w:vAlign w:val="center"/>
          </w:tcPr>
          <w:p>
            <w:r>
              <w:rPr>
                <w:sz w:val="14"/>
              </w:rPr>
              <w:t>GI-0330</w:t>
            </w:r>
          </w:p>
        </w:tc>
        <w:tc>
          <w:tcPr>
            <w:tcW w:type="dxa" w:w="5184"/>
            <w:tcBorders>
              <w:top w:val="single" w:sz="4" w:color="D9D9D9"/>
              <w:left w:val="single" w:sz="4" w:color="D9D9D9"/>
              <w:bottom w:val="single" w:sz="4" w:color="D9D9D9"/>
              <w:right w:val="single" w:sz="4" w:color="D9D9D9"/>
            </w:tcBorders>
            <w:vAlign w:val="center"/>
          </w:tcPr>
          <w:p>
            <w:r>
              <w:rPr>
                <w:sz w:val="14"/>
              </w:rPr>
              <w:t>Fusion of high resolution manometry and cinematography in the diagnosis of dysphagia. International Journal of Computer Assisted Radiology and Surgery (2022).</w:t>
            </w:r>
          </w:p>
        </w:tc>
        <w:tc>
          <w:tcPr>
            <w:tcW w:type="dxa" w:w="1728"/>
            <w:tcBorders>
              <w:top w:val="single" w:sz="4" w:color="D9D9D9"/>
              <w:left w:val="single" w:sz="4" w:color="D9D9D9"/>
              <w:bottom w:val="single" w:sz="4" w:color="D9D9D9"/>
              <w:right w:val="single" w:sz="4" w:color="D9D9D9"/>
            </w:tcBorders>
            <w:vAlign w:val="center"/>
          </w:tcPr>
          <w:p>
            <w:r>
              <w:rPr>
                <w:sz w:val="14"/>
              </w:rPr>
              <w:t>10.1007/s11548-022-02635-x</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25</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STUDY-018</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REP-GI-0356</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GI-0356</w:t>
            </w:r>
          </w:p>
        </w:tc>
        <w:tc>
          <w:tcPr>
            <w:tcW w:type="dxa" w:w="5184"/>
            <w:tcBorders>
              <w:top w:val="single" w:sz="4" w:color="D9D9D9"/>
              <w:left w:val="single" w:sz="4" w:color="D9D9D9"/>
              <w:bottom w:val="single" w:sz="4" w:color="D9D9D9"/>
              <w:right w:val="single" w:sz="4" w:color="D9D9D9"/>
            </w:tcBorders>
            <w:vAlign w:val="center"/>
            <w:shd w:fill="F6F8FA"/>
          </w:tcPr>
          <w:p>
            <w:r>
              <w:rPr>
                <w:sz w:val="14"/>
              </w:rPr>
              <w:t>How Closely do Machine Ratings of Duration of UES Opening During Videofluoroscopy Approximate Clinician Ratings Using Temporal Kinematic Analyses and the MBSImP?. Dysphagia (2021).</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10.1007/s00455-020-10191-2</w:t>
            </w:r>
          </w:p>
        </w:tc>
      </w:tr>
      <w:tr>
        <w:tc>
          <w:tcPr>
            <w:tcW w:type="dxa" w:w="576"/>
            <w:tcBorders>
              <w:top w:val="single" w:sz="4" w:color="D9D9D9"/>
              <w:left w:val="single" w:sz="4" w:color="D9D9D9"/>
              <w:bottom w:val="single" w:sz="4" w:color="D9D9D9"/>
              <w:right w:val="single" w:sz="4" w:color="D9D9D9"/>
            </w:tcBorders>
            <w:vAlign w:val="center"/>
          </w:tcPr>
          <w:p>
            <w:r>
              <w:rPr>
                <w:sz w:val="14"/>
              </w:rPr>
              <w:t>26</w:t>
            </w:r>
          </w:p>
        </w:tc>
        <w:tc>
          <w:tcPr>
            <w:tcW w:type="dxa" w:w="1008"/>
            <w:tcBorders>
              <w:top w:val="single" w:sz="4" w:color="D9D9D9"/>
              <w:left w:val="single" w:sz="4" w:color="D9D9D9"/>
              <w:bottom w:val="single" w:sz="4" w:color="D9D9D9"/>
              <w:right w:val="single" w:sz="4" w:color="D9D9D9"/>
            </w:tcBorders>
            <w:vAlign w:val="center"/>
          </w:tcPr>
          <w:p>
            <w:r>
              <w:rPr>
                <w:sz w:val="14"/>
              </w:rPr>
              <w:t>STUDY-019</w:t>
            </w:r>
          </w:p>
        </w:tc>
        <w:tc>
          <w:tcPr>
            <w:tcW w:type="dxa" w:w="1296"/>
            <w:tcBorders>
              <w:top w:val="single" w:sz="4" w:color="D9D9D9"/>
              <w:left w:val="single" w:sz="4" w:color="D9D9D9"/>
              <w:bottom w:val="single" w:sz="4" w:color="D9D9D9"/>
              <w:right w:val="single" w:sz="4" w:color="D9D9D9"/>
            </w:tcBorders>
            <w:vAlign w:val="center"/>
          </w:tcPr>
          <w:p>
            <w:r>
              <w:rPr>
                <w:sz w:val="14"/>
              </w:rPr>
              <w:t>REP-GI-0450</w:t>
            </w:r>
          </w:p>
        </w:tc>
        <w:tc>
          <w:tcPr>
            <w:tcW w:type="dxa" w:w="1008"/>
            <w:tcBorders>
              <w:top w:val="single" w:sz="4" w:color="D9D9D9"/>
              <w:left w:val="single" w:sz="4" w:color="D9D9D9"/>
              <w:bottom w:val="single" w:sz="4" w:color="D9D9D9"/>
              <w:right w:val="single" w:sz="4" w:color="D9D9D9"/>
            </w:tcBorders>
            <w:vAlign w:val="center"/>
          </w:tcPr>
          <w:p>
            <w:r>
              <w:rPr>
                <w:sz w:val="14"/>
              </w:rPr>
              <w:t>GI-0450</w:t>
            </w:r>
          </w:p>
        </w:tc>
        <w:tc>
          <w:tcPr>
            <w:tcW w:type="dxa" w:w="5184"/>
            <w:tcBorders>
              <w:top w:val="single" w:sz="4" w:color="D9D9D9"/>
              <w:left w:val="single" w:sz="4" w:color="D9D9D9"/>
              <w:bottom w:val="single" w:sz="4" w:color="D9D9D9"/>
              <w:right w:val="single" w:sz="4" w:color="D9D9D9"/>
            </w:tcBorders>
            <w:vAlign w:val="center"/>
          </w:tcPr>
          <w:p>
            <w:r>
              <w:rPr>
                <w:sz w:val="14"/>
              </w:rPr>
              <w:t>Non-invasive integrated swallowing kinematic analysis framework leveraging transformer-based multi-task neural networks. Computers in Biology and Medicine (2025).</w:t>
            </w:r>
          </w:p>
        </w:tc>
        <w:tc>
          <w:tcPr>
            <w:tcW w:type="dxa" w:w="1728"/>
            <w:tcBorders>
              <w:top w:val="single" w:sz="4" w:color="D9D9D9"/>
              <w:left w:val="single" w:sz="4" w:color="D9D9D9"/>
              <w:bottom w:val="single" w:sz="4" w:color="D9D9D9"/>
              <w:right w:val="single" w:sz="4" w:color="D9D9D9"/>
            </w:tcBorders>
            <w:vAlign w:val="center"/>
          </w:tcPr>
          <w:p>
            <w:r>
              <w:rPr>
                <w:sz w:val="14"/>
              </w:rPr>
              <w:t>10.1016/j.compbiomed.2025.110887</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27</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STUDY-020</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REP-GI-0451</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GI-0451</w:t>
            </w:r>
          </w:p>
        </w:tc>
        <w:tc>
          <w:tcPr>
            <w:tcW w:type="dxa" w:w="5184"/>
            <w:tcBorders>
              <w:top w:val="single" w:sz="4" w:color="D9D9D9"/>
              <w:left w:val="single" w:sz="4" w:color="D9D9D9"/>
              <w:bottom w:val="single" w:sz="4" w:color="D9D9D9"/>
              <w:right w:val="single" w:sz="4" w:color="D9D9D9"/>
            </w:tcBorders>
            <w:vAlign w:val="center"/>
            <w:shd w:fill="F6F8FA"/>
          </w:tcPr>
          <w:p>
            <w:r>
              <w:rPr>
                <w:sz w:val="14"/>
              </w:rPr>
              <w:t>Non-Invasive Sensor-Based Estimation of Anterior-Posterior Upper Esophageal Sphincter Opening Maximal Distension.. IEEE JOURNAL OF TRANSLATIONAL ENGINEERING IN HEALTH AND MEDICINE (2023).</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10.1109/jtehm.2023.3246919</w:t>
            </w:r>
          </w:p>
        </w:tc>
      </w:tr>
      <w:tr>
        <w:tc>
          <w:tcPr>
            <w:tcW w:type="dxa" w:w="576"/>
            <w:tcBorders>
              <w:top w:val="single" w:sz="4" w:color="D9D9D9"/>
              <w:left w:val="single" w:sz="4" w:color="D9D9D9"/>
              <w:bottom w:val="single" w:sz="4" w:color="D9D9D9"/>
              <w:right w:val="single" w:sz="4" w:color="D9D9D9"/>
            </w:tcBorders>
            <w:vAlign w:val="center"/>
          </w:tcPr>
          <w:p>
            <w:r>
              <w:rPr>
                <w:sz w:val="14"/>
              </w:rPr>
              <w:t>28</w:t>
            </w:r>
          </w:p>
        </w:tc>
        <w:tc>
          <w:tcPr>
            <w:tcW w:type="dxa" w:w="1008"/>
            <w:tcBorders>
              <w:top w:val="single" w:sz="4" w:color="D9D9D9"/>
              <w:left w:val="single" w:sz="4" w:color="D9D9D9"/>
              <w:bottom w:val="single" w:sz="4" w:color="D9D9D9"/>
              <w:right w:val="single" w:sz="4" w:color="D9D9D9"/>
            </w:tcBorders>
            <w:vAlign w:val="center"/>
          </w:tcPr>
          <w:p>
            <w:r>
              <w:rPr>
                <w:sz w:val="14"/>
              </w:rPr>
              <w:t>STUDY-021</w:t>
            </w:r>
          </w:p>
        </w:tc>
        <w:tc>
          <w:tcPr>
            <w:tcW w:type="dxa" w:w="1296"/>
            <w:tcBorders>
              <w:top w:val="single" w:sz="4" w:color="D9D9D9"/>
              <w:left w:val="single" w:sz="4" w:color="D9D9D9"/>
              <w:bottom w:val="single" w:sz="4" w:color="D9D9D9"/>
              <w:right w:val="single" w:sz="4" w:color="D9D9D9"/>
            </w:tcBorders>
            <w:vAlign w:val="center"/>
          </w:tcPr>
          <w:p>
            <w:r>
              <w:rPr>
                <w:sz w:val="14"/>
              </w:rPr>
              <w:t>REP-GI-0453</w:t>
            </w:r>
          </w:p>
        </w:tc>
        <w:tc>
          <w:tcPr>
            <w:tcW w:type="dxa" w:w="1008"/>
            <w:tcBorders>
              <w:top w:val="single" w:sz="4" w:color="D9D9D9"/>
              <w:left w:val="single" w:sz="4" w:color="D9D9D9"/>
              <w:bottom w:val="single" w:sz="4" w:color="D9D9D9"/>
              <w:right w:val="single" w:sz="4" w:color="D9D9D9"/>
            </w:tcBorders>
            <w:vAlign w:val="center"/>
          </w:tcPr>
          <w:p>
            <w:r>
              <w:rPr>
                <w:sz w:val="14"/>
              </w:rPr>
              <w:t>GI-0453</w:t>
            </w:r>
          </w:p>
        </w:tc>
        <w:tc>
          <w:tcPr>
            <w:tcW w:type="dxa" w:w="5184"/>
            <w:tcBorders>
              <w:top w:val="single" w:sz="4" w:color="D9D9D9"/>
              <w:left w:val="single" w:sz="4" w:color="D9D9D9"/>
              <w:bottom w:val="single" w:sz="4" w:color="D9D9D9"/>
              <w:right w:val="single" w:sz="4" w:color="D9D9D9"/>
            </w:tcBorders>
            <w:vAlign w:val="center"/>
          </w:tcPr>
          <w:p>
            <w:r>
              <w:rPr>
                <w:sz w:val="14"/>
              </w:rPr>
              <w:t>Non-parametric classification of esophagus motility by means of neural networks.. Methods of Information in Medicine (1997).</w:t>
            </w:r>
          </w:p>
        </w:tc>
        <w:tc>
          <w:tcPr>
            <w:tcW w:type="dxa" w:w="1728"/>
            <w:tcBorders>
              <w:top w:val="single" w:sz="4" w:color="D9D9D9"/>
              <w:left w:val="single" w:sz="4" w:color="D9D9D9"/>
              <w:bottom w:val="single" w:sz="4" w:color="D9D9D9"/>
              <w:right w:val="single" w:sz="4" w:color="D9D9D9"/>
            </w:tcBorders>
            <w:vAlign w:val="center"/>
          </w:tcPr>
          <w:p>
            <w:r>
              <w:rPr>
                <w:sz w:val="14"/>
              </w:rPr>
              <w:t>10.1055/s-0038-1636870</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29</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STUDY-022</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REP-GI-0454</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GI-0454</w:t>
            </w:r>
          </w:p>
        </w:tc>
        <w:tc>
          <w:tcPr>
            <w:tcW w:type="dxa" w:w="5184"/>
            <w:tcBorders>
              <w:top w:val="single" w:sz="4" w:color="D9D9D9"/>
              <w:left w:val="single" w:sz="4" w:color="D9D9D9"/>
              <w:bottom w:val="single" w:sz="4" w:color="D9D9D9"/>
              <w:right w:val="single" w:sz="4" w:color="D9D9D9"/>
            </w:tcBorders>
            <w:vAlign w:val="center"/>
            <w:shd w:fill="F6F8FA"/>
          </w:tcPr>
          <w:p>
            <w:r>
              <w:rPr>
                <w:sz w:val="14"/>
              </w:rPr>
              <w:t>NONINVASIVE BIOMARKERS ACCURATELY IDENTIFY EOSINOPHILIC ESOPHAGITIS: A PROSPECTIVE STUDY IN CHILDREN. Gastroenterology (2018).</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10.1016/s0016-5085(18)31243-5</w:t>
            </w:r>
          </w:p>
        </w:tc>
      </w:tr>
      <w:tr>
        <w:tc>
          <w:tcPr>
            <w:tcW w:type="dxa" w:w="576"/>
            <w:tcBorders>
              <w:top w:val="single" w:sz="4" w:color="D9D9D9"/>
              <w:left w:val="single" w:sz="4" w:color="D9D9D9"/>
              <w:bottom w:val="single" w:sz="4" w:color="D9D9D9"/>
              <w:right w:val="single" w:sz="4" w:color="D9D9D9"/>
            </w:tcBorders>
            <w:vAlign w:val="center"/>
          </w:tcPr>
          <w:p>
            <w:r>
              <w:rPr>
                <w:sz w:val="14"/>
              </w:rPr>
              <w:t>30</w:t>
            </w:r>
          </w:p>
        </w:tc>
        <w:tc>
          <w:tcPr>
            <w:tcW w:type="dxa" w:w="1008"/>
            <w:tcBorders>
              <w:top w:val="single" w:sz="4" w:color="D9D9D9"/>
              <w:left w:val="single" w:sz="4" w:color="D9D9D9"/>
              <w:bottom w:val="single" w:sz="4" w:color="D9D9D9"/>
              <w:right w:val="single" w:sz="4" w:color="D9D9D9"/>
            </w:tcBorders>
            <w:vAlign w:val="center"/>
          </w:tcPr>
          <w:p>
            <w:r>
              <w:rPr>
                <w:sz w:val="14"/>
              </w:rPr>
              <w:t>STUDY-023</w:t>
            </w:r>
          </w:p>
        </w:tc>
        <w:tc>
          <w:tcPr>
            <w:tcW w:type="dxa" w:w="1296"/>
            <w:tcBorders>
              <w:top w:val="single" w:sz="4" w:color="D9D9D9"/>
              <w:left w:val="single" w:sz="4" w:color="D9D9D9"/>
              <w:bottom w:val="single" w:sz="4" w:color="D9D9D9"/>
              <w:right w:val="single" w:sz="4" w:color="D9D9D9"/>
            </w:tcBorders>
            <w:vAlign w:val="center"/>
          </w:tcPr>
          <w:p>
            <w:r>
              <w:rPr>
                <w:sz w:val="14"/>
              </w:rPr>
              <w:t>REP-GI-0467</w:t>
            </w:r>
          </w:p>
        </w:tc>
        <w:tc>
          <w:tcPr>
            <w:tcW w:type="dxa" w:w="1008"/>
            <w:tcBorders>
              <w:top w:val="single" w:sz="4" w:color="D9D9D9"/>
              <w:left w:val="single" w:sz="4" w:color="D9D9D9"/>
              <w:bottom w:val="single" w:sz="4" w:color="D9D9D9"/>
              <w:right w:val="single" w:sz="4" w:color="D9D9D9"/>
            </w:tcBorders>
            <w:vAlign w:val="center"/>
          </w:tcPr>
          <w:p>
            <w:r>
              <w:rPr>
                <w:sz w:val="14"/>
              </w:rPr>
              <w:t>GI-0467</w:t>
            </w:r>
          </w:p>
        </w:tc>
        <w:tc>
          <w:tcPr>
            <w:tcW w:type="dxa" w:w="5184"/>
            <w:tcBorders>
              <w:top w:val="single" w:sz="4" w:color="D9D9D9"/>
              <w:left w:val="single" w:sz="4" w:color="D9D9D9"/>
              <w:bottom w:val="single" w:sz="4" w:color="D9D9D9"/>
              <w:right w:val="single" w:sz="4" w:color="D9D9D9"/>
            </w:tcBorders>
            <w:vAlign w:val="center"/>
          </w:tcPr>
          <w:p>
            <w:r>
              <w:rPr>
                <w:sz w:val="14"/>
              </w:rPr>
              <w:t>P9. Cinemanography – Challenges and potentials of fusing manometric and fluoroscopic imaging. Clinical Neurophysiology (2021).</w:t>
            </w:r>
          </w:p>
        </w:tc>
        <w:tc>
          <w:tcPr>
            <w:tcW w:type="dxa" w:w="1728"/>
            <w:tcBorders>
              <w:top w:val="single" w:sz="4" w:color="D9D9D9"/>
              <w:left w:val="single" w:sz="4" w:color="D9D9D9"/>
              <w:bottom w:val="single" w:sz="4" w:color="D9D9D9"/>
              <w:right w:val="single" w:sz="4" w:color="D9D9D9"/>
            </w:tcBorders>
            <w:vAlign w:val="center"/>
          </w:tcPr>
          <w:p>
            <w:r>
              <w:rPr>
                <w:sz w:val="14"/>
              </w:rPr>
              <w:t>10.1016/j.clinph.2021.02.332</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31</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STUDY-024</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REP-GI-0498</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GI-0498</w:t>
            </w:r>
          </w:p>
        </w:tc>
        <w:tc>
          <w:tcPr>
            <w:tcW w:type="dxa" w:w="5184"/>
            <w:tcBorders>
              <w:top w:val="single" w:sz="4" w:color="D9D9D9"/>
              <w:left w:val="single" w:sz="4" w:color="D9D9D9"/>
              <w:bottom w:val="single" w:sz="4" w:color="D9D9D9"/>
              <w:right w:val="single" w:sz="4" w:color="D9D9D9"/>
            </w:tcBorders>
            <w:vAlign w:val="center"/>
            <w:shd w:fill="F6F8FA"/>
          </w:tcPr>
          <w:p>
            <w:r>
              <w:rPr>
                <w:sz w:val="14"/>
              </w:rPr>
              <w:t>Psychological Processes, Not Physiological Parameters, Are Most Important Contributors to Symptom Severity in Patients With Refractory Heartburn/Regurgitation Symptoms.. Gastroenterology (2023).</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10.1053/j.gastro.2023.06.019</w:t>
            </w:r>
          </w:p>
        </w:tc>
      </w:tr>
      <w:tr>
        <w:tc>
          <w:tcPr>
            <w:tcW w:type="dxa" w:w="576"/>
            <w:tcBorders>
              <w:top w:val="single" w:sz="4" w:color="D9D9D9"/>
              <w:left w:val="single" w:sz="4" w:color="D9D9D9"/>
              <w:bottom w:val="single" w:sz="4" w:color="D9D9D9"/>
              <w:right w:val="single" w:sz="4" w:color="D9D9D9"/>
            </w:tcBorders>
            <w:vAlign w:val="center"/>
          </w:tcPr>
          <w:p>
            <w:r>
              <w:rPr>
                <w:sz w:val="14"/>
              </w:rPr>
              <w:t>32</w:t>
            </w:r>
          </w:p>
        </w:tc>
        <w:tc>
          <w:tcPr>
            <w:tcW w:type="dxa" w:w="1008"/>
            <w:tcBorders>
              <w:top w:val="single" w:sz="4" w:color="D9D9D9"/>
              <w:left w:val="single" w:sz="4" w:color="D9D9D9"/>
              <w:bottom w:val="single" w:sz="4" w:color="D9D9D9"/>
              <w:right w:val="single" w:sz="4" w:color="D9D9D9"/>
            </w:tcBorders>
            <w:vAlign w:val="center"/>
          </w:tcPr>
          <w:p>
            <w:r>
              <w:rPr>
                <w:sz w:val="14"/>
              </w:rPr>
              <w:t>STUDY-025</w:t>
            </w:r>
          </w:p>
        </w:tc>
        <w:tc>
          <w:tcPr>
            <w:tcW w:type="dxa" w:w="1296"/>
            <w:tcBorders>
              <w:top w:val="single" w:sz="4" w:color="D9D9D9"/>
              <w:left w:val="single" w:sz="4" w:color="D9D9D9"/>
              <w:bottom w:val="single" w:sz="4" w:color="D9D9D9"/>
              <w:right w:val="single" w:sz="4" w:color="D9D9D9"/>
            </w:tcBorders>
            <w:vAlign w:val="center"/>
          </w:tcPr>
          <w:p>
            <w:r>
              <w:rPr>
                <w:sz w:val="14"/>
              </w:rPr>
              <w:t>REP-GI-0501</w:t>
            </w:r>
          </w:p>
        </w:tc>
        <w:tc>
          <w:tcPr>
            <w:tcW w:type="dxa" w:w="1008"/>
            <w:tcBorders>
              <w:top w:val="single" w:sz="4" w:color="D9D9D9"/>
              <w:left w:val="single" w:sz="4" w:color="D9D9D9"/>
              <w:bottom w:val="single" w:sz="4" w:color="D9D9D9"/>
              <w:right w:val="single" w:sz="4" w:color="D9D9D9"/>
            </w:tcBorders>
            <w:vAlign w:val="center"/>
          </w:tcPr>
          <w:p>
            <w:r>
              <w:rPr>
                <w:sz w:val="14"/>
              </w:rPr>
              <w:t>GI-0501</w:t>
            </w:r>
          </w:p>
        </w:tc>
        <w:tc>
          <w:tcPr>
            <w:tcW w:type="dxa" w:w="5184"/>
            <w:tcBorders>
              <w:top w:val="single" w:sz="4" w:color="D9D9D9"/>
              <w:left w:val="single" w:sz="4" w:color="D9D9D9"/>
              <w:bottom w:val="single" w:sz="4" w:color="D9D9D9"/>
              <w:right w:val="single" w:sz="4" w:color="D9D9D9"/>
            </w:tcBorders>
            <w:vAlign w:val="center"/>
          </w:tcPr>
          <w:p>
            <w:r>
              <w:rPr>
                <w:sz w:val="14"/>
              </w:rPr>
              <w:t>Pyramid Pooling Channel Attention Network for esophageal tissue segmentation on OCT images. 2020 IEEE 19TH INTERNATIONAL CONFERENCE ON TRUST, SECURITY AND PRIVACY IN COMPUTING AND COMMUNICATIONS (TRUSTCOM 2020) (2020).</w:t>
            </w:r>
          </w:p>
        </w:tc>
        <w:tc>
          <w:tcPr>
            <w:tcW w:type="dxa" w:w="1728"/>
            <w:tcBorders>
              <w:top w:val="single" w:sz="4" w:color="D9D9D9"/>
              <w:left w:val="single" w:sz="4" w:color="D9D9D9"/>
              <w:bottom w:val="single" w:sz="4" w:color="D9D9D9"/>
              <w:right w:val="single" w:sz="4" w:color="D9D9D9"/>
            </w:tcBorders>
            <w:vAlign w:val="center"/>
          </w:tcPr>
          <w:p>
            <w:r>
              <w:rPr>
                <w:sz w:val="14"/>
              </w:rPr>
              <w:t>10.1109/trustcom50675.2020.00200</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33</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STUDY-026</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REP-GI-0556</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GI-0556</w:t>
            </w:r>
          </w:p>
        </w:tc>
        <w:tc>
          <w:tcPr>
            <w:tcW w:type="dxa" w:w="5184"/>
            <w:tcBorders>
              <w:top w:val="single" w:sz="4" w:color="D9D9D9"/>
              <w:left w:val="single" w:sz="4" w:color="D9D9D9"/>
              <w:bottom w:val="single" w:sz="4" w:color="D9D9D9"/>
              <w:right w:val="single" w:sz="4" w:color="D9D9D9"/>
            </w:tcBorders>
            <w:vAlign w:val="center"/>
            <w:shd w:fill="F6F8FA"/>
          </w:tcPr>
          <w:p>
            <w:r>
              <w:rPr>
                <w:sz w:val="14"/>
              </w:rPr>
              <w:t>Segmentation of gastroesophageal reflux events using a semi-U-Net architecture with 1D/2D CNNs.. Scientific reports (2025).</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10.1038/s41598-025-21031-4</w:t>
            </w:r>
          </w:p>
        </w:tc>
      </w:tr>
      <w:tr>
        <w:tc>
          <w:tcPr>
            <w:tcW w:type="dxa" w:w="576"/>
            <w:tcBorders>
              <w:top w:val="single" w:sz="4" w:color="D9D9D9"/>
              <w:left w:val="single" w:sz="4" w:color="D9D9D9"/>
              <w:bottom w:val="single" w:sz="4" w:color="D9D9D9"/>
              <w:right w:val="single" w:sz="4" w:color="D9D9D9"/>
            </w:tcBorders>
            <w:vAlign w:val="center"/>
          </w:tcPr>
          <w:p>
            <w:r>
              <w:rPr>
                <w:sz w:val="14"/>
              </w:rPr>
              <w:t>34</w:t>
            </w:r>
          </w:p>
        </w:tc>
        <w:tc>
          <w:tcPr>
            <w:tcW w:type="dxa" w:w="1008"/>
            <w:tcBorders>
              <w:top w:val="single" w:sz="4" w:color="D9D9D9"/>
              <w:left w:val="single" w:sz="4" w:color="D9D9D9"/>
              <w:bottom w:val="single" w:sz="4" w:color="D9D9D9"/>
              <w:right w:val="single" w:sz="4" w:color="D9D9D9"/>
            </w:tcBorders>
            <w:vAlign w:val="center"/>
          </w:tcPr>
          <w:p>
            <w:r>
              <w:rPr>
                <w:sz w:val="14"/>
              </w:rPr>
              <w:t>STUDY-027</w:t>
            </w:r>
          </w:p>
        </w:tc>
        <w:tc>
          <w:tcPr>
            <w:tcW w:type="dxa" w:w="1296"/>
            <w:tcBorders>
              <w:top w:val="single" w:sz="4" w:color="D9D9D9"/>
              <w:left w:val="single" w:sz="4" w:color="D9D9D9"/>
              <w:bottom w:val="single" w:sz="4" w:color="D9D9D9"/>
              <w:right w:val="single" w:sz="4" w:color="D9D9D9"/>
            </w:tcBorders>
            <w:vAlign w:val="center"/>
          </w:tcPr>
          <w:p>
            <w:r>
              <w:rPr>
                <w:sz w:val="14"/>
              </w:rPr>
              <w:t>REP-GI-0567</w:t>
            </w:r>
          </w:p>
        </w:tc>
        <w:tc>
          <w:tcPr>
            <w:tcW w:type="dxa" w:w="1008"/>
            <w:tcBorders>
              <w:top w:val="single" w:sz="4" w:color="D9D9D9"/>
              <w:left w:val="single" w:sz="4" w:color="D9D9D9"/>
              <w:bottom w:val="single" w:sz="4" w:color="D9D9D9"/>
              <w:right w:val="single" w:sz="4" w:color="D9D9D9"/>
            </w:tcBorders>
            <w:vAlign w:val="center"/>
          </w:tcPr>
          <w:p>
            <w:r>
              <w:rPr>
                <w:sz w:val="14"/>
              </w:rPr>
              <w:t>GI-0567</w:t>
            </w:r>
          </w:p>
        </w:tc>
        <w:tc>
          <w:tcPr>
            <w:tcW w:type="dxa" w:w="5184"/>
            <w:tcBorders>
              <w:top w:val="single" w:sz="4" w:color="D9D9D9"/>
              <w:left w:val="single" w:sz="4" w:color="D9D9D9"/>
              <w:bottom w:val="single" w:sz="4" w:color="D9D9D9"/>
              <w:right w:val="single" w:sz="4" w:color="D9D9D9"/>
            </w:tcBorders>
            <w:vAlign w:val="center"/>
          </w:tcPr>
          <w:p>
            <w:r>
              <w:rPr>
                <w:sz w:val="14"/>
              </w:rPr>
              <w:t>Swallowing Assessment using High-Resolution Cervical Auscultations and Transformer-based Neural Networks. Annual International Conference of the IEEE Engineering in Medicine and Biology Society. IEEE Engineering in Medicine and Biology Society. Annual International Conference (2024).</w:t>
            </w:r>
          </w:p>
        </w:tc>
        <w:tc>
          <w:tcPr>
            <w:tcW w:type="dxa" w:w="1728"/>
            <w:tcBorders>
              <w:top w:val="single" w:sz="4" w:color="D9D9D9"/>
              <w:left w:val="single" w:sz="4" w:color="D9D9D9"/>
              <w:bottom w:val="single" w:sz="4" w:color="D9D9D9"/>
              <w:right w:val="single" w:sz="4" w:color="D9D9D9"/>
            </w:tcBorders>
            <w:vAlign w:val="center"/>
          </w:tcPr>
          <w:p>
            <w:r>
              <w:rPr>
                <w:sz w:val="14"/>
              </w:rPr>
              <w:t>10.1109/embc53108.2024.10782280</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35</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STUDY-004</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REP-GI-0569</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GI-0569</w:t>
            </w:r>
          </w:p>
        </w:tc>
        <w:tc>
          <w:tcPr>
            <w:tcW w:type="dxa" w:w="5184"/>
            <w:tcBorders>
              <w:top w:val="single" w:sz="4" w:color="D9D9D9"/>
              <w:left w:val="single" w:sz="4" w:color="D9D9D9"/>
              <w:bottom w:val="single" w:sz="4" w:color="D9D9D9"/>
              <w:right w:val="single" w:sz="4" w:color="D9D9D9"/>
            </w:tcBorders>
            <w:vAlign w:val="center"/>
            <w:shd w:fill="F6F8FA"/>
          </w:tcPr>
          <w:p>
            <w:r>
              <w:rPr>
                <w:sz w:val="14"/>
              </w:rPr>
              <w:t>[Symptom evaluation as an efficient diagnostic tool for upper abdominal diseases].. Harefuah (2006).</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17183951</w:t>
            </w:r>
          </w:p>
        </w:tc>
      </w:tr>
      <w:tr>
        <w:tc>
          <w:tcPr>
            <w:tcW w:type="dxa" w:w="576"/>
            <w:tcBorders>
              <w:top w:val="single" w:sz="4" w:color="D9D9D9"/>
              <w:left w:val="single" w:sz="4" w:color="D9D9D9"/>
              <w:bottom w:val="single" w:sz="4" w:color="D9D9D9"/>
              <w:right w:val="single" w:sz="4" w:color="D9D9D9"/>
            </w:tcBorders>
            <w:vAlign w:val="center"/>
          </w:tcPr>
          <w:p>
            <w:r>
              <w:rPr>
                <w:sz w:val="14"/>
              </w:rPr>
              <w:t>36</w:t>
            </w:r>
          </w:p>
        </w:tc>
        <w:tc>
          <w:tcPr>
            <w:tcW w:type="dxa" w:w="1008"/>
            <w:tcBorders>
              <w:top w:val="single" w:sz="4" w:color="D9D9D9"/>
              <w:left w:val="single" w:sz="4" w:color="D9D9D9"/>
              <w:bottom w:val="single" w:sz="4" w:color="D9D9D9"/>
              <w:right w:val="single" w:sz="4" w:color="D9D9D9"/>
            </w:tcBorders>
            <w:vAlign w:val="center"/>
          </w:tcPr>
          <w:p>
            <w:r>
              <w:rPr>
                <w:sz w:val="14"/>
              </w:rPr>
              <w:t>STUDY-028</w:t>
            </w:r>
          </w:p>
        </w:tc>
        <w:tc>
          <w:tcPr>
            <w:tcW w:type="dxa" w:w="1296"/>
            <w:tcBorders>
              <w:top w:val="single" w:sz="4" w:color="D9D9D9"/>
              <w:left w:val="single" w:sz="4" w:color="D9D9D9"/>
              <w:bottom w:val="single" w:sz="4" w:color="D9D9D9"/>
              <w:right w:val="single" w:sz="4" w:color="D9D9D9"/>
            </w:tcBorders>
            <w:vAlign w:val="center"/>
          </w:tcPr>
          <w:p>
            <w:r>
              <w:rPr>
                <w:sz w:val="14"/>
              </w:rPr>
              <w:t>REP-GI-0578</w:t>
            </w:r>
          </w:p>
        </w:tc>
        <w:tc>
          <w:tcPr>
            <w:tcW w:type="dxa" w:w="1008"/>
            <w:tcBorders>
              <w:top w:val="single" w:sz="4" w:color="D9D9D9"/>
              <w:left w:val="single" w:sz="4" w:color="D9D9D9"/>
              <w:bottom w:val="single" w:sz="4" w:color="D9D9D9"/>
              <w:right w:val="single" w:sz="4" w:color="D9D9D9"/>
            </w:tcBorders>
            <w:vAlign w:val="center"/>
          </w:tcPr>
          <w:p>
            <w:r>
              <w:rPr>
                <w:sz w:val="14"/>
              </w:rPr>
              <w:t>GI-0578</w:t>
            </w:r>
          </w:p>
        </w:tc>
        <w:tc>
          <w:tcPr>
            <w:tcW w:type="dxa" w:w="5184"/>
            <w:tcBorders>
              <w:top w:val="single" w:sz="4" w:color="D9D9D9"/>
              <w:left w:val="single" w:sz="4" w:color="D9D9D9"/>
              <w:bottom w:val="single" w:sz="4" w:color="D9D9D9"/>
              <w:right w:val="single" w:sz="4" w:color="D9D9D9"/>
            </w:tcBorders>
            <w:vAlign w:val="center"/>
          </w:tcPr>
          <w:p>
            <w:r>
              <w:rPr>
                <w:sz w:val="14"/>
              </w:rPr>
              <w:t>Temporal and spectral properties of esophageal mucosal blood perfusion: a comparison between normal subjects and nutcracker esophagus patients.. Neurogastroenterology and motility (2017).</w:t>
            </w:r>
          </w:p>
        </w:tc>
        <w:tc>
          <w:tcPr>
            <w:tcW w:type="dxa" w:w="1728"/>
            <w:tcBorders>
              <w:top w:val="single" w:sz="4" w:color="D9D9D9"/>
              <w:left w:val="single" w:sz="4" w:color="D9D9D9"/>
              <w:bottom w:val="single" w:sz="4" w:color="D9D9D9"/>
              <w:right w:val="single" w:sz="4" w:color="D9D9D9"/>
            </w:tcBorders>
            <w:vAlign w:val="center"/>
          </w:tcPr>
          <w:p>
            <w:r>
              <w:rPr>
                <w:sz w:val="14"/>
              </w:rPr>
              <w:t>10.1111/nmo.12917</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37</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STUDY-029</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REP-GI-0614</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GI-0614</w:t>
            </w:r>
          </w:p>
        </w:tc>
        <w:tc>
          <w:tcPr>
            <w:tcW w:type="dxa" w:w="5184"/>
            <w:tcBorders>
              <w:top w:val="single" w:sz="4" w:color="D9D9D9"/>
              <w:left w:val="single" w:sz="4" w:color="D9D9D9"/>
              <w:bottom w:val="single" w:sz="4" w:color="D9D9D9"/>
              <w:right w:val="single" w:sz="4" w:color="D9D9D9"/>
            </w:tcBorders>
            <w:vAlign w:val="center"/>
            <w:shd w:fill="F6F8FA"/>
          </w:tcPr>
          <w:p>
            <w:r>
              <w:rPr>
                <w:sz w:val="14"/>
              </w:rPr>
              <w:t>Towards Non-Invasive Swallowing Assessment: an AI-Powered Interface for Swallowing Kinematic Analysis using High-Resolution Cervical Auscultation.. Annual International Conference of the IEEE Engineering in Medicine and Biology Society. IEEE Engineering in Medicine and Biology Society. Annual International Conference (2024).</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10.1109/embc53108.2024.10781763</w:t>
            </w:r>
          </w:p>
        </w:tc>
      </w:tr>
      <w:tr>
        <w:tc>
          <w:tcPr>
            <w:tcW w:type="dxa" w:w="576"/>
            <w:tcBorders>
              <w:top w:val="single" w:sz="4" w:color="D9D9D9"/>
              <w:left w:val="single" w:sz="4" w:color="D9D9D9"/>
              <w:bottom w:val="single" w:sz="4" w:color="D9D9D9"/>
              <w:right w:val="single" w:sz="4" w:color="D9D9D9"/>
            </w:tcBorders>
            <w:vAlign w:val="center"/>
          </w:tcPr>
          <w:p>
            <w:r>
              <w:rPr>
                <w:sz w:val="14"/>
              </w:rPr>
              <w:t>38</w:t>
            </w:r>
          </w:p>
        </w:tc>
        <w:tc>
          <w:tcPr>
            <w:tcW w:type="dxa" w:w="1008"/>
            <w:tcBorders>
              <w:top w:val="single" w:sz="4" w:color="D9D9D9"/>
              <w:left w:val="single" w:sz="4" w:color="D9D9D9"/>
              <w:bottom w:val="single" w:sz="4" w:color="D9D9D9"/>
              <w:right w:val="single" w:sz="4" w:color="D9D9D9"/>
            </w:tcBorders>
            <w:vAlign w:val="center"/>
          </w:tcPr>
          <w:p>
            <w:r>
              <w:rPr>
                <w:sz w:val="14"/>
              </w:rPr>
              <w:t>STUDY-030</w:t>
            </w:r>
          </w:p>
        </w:tc>
        <w:tc>
          <w:tcPr>
            <w:tcW w:type="dxa" w:w="1296"/>
            <w:tcBorders>
              <w:top w:val="single" w:sz="4" w:color="D9D9D9"/>
              <w:left w:val="single" w:sz="4" w:color="D9D9D9"/>
              <w:bottom w:val="single" w:sz="4" w:color="D9D9D9"/>
              <w:right w:val="single" w:sz="4" w:color="D9D9D9"/>
            </w:tcBorders>
            <w:vAlign w:val="center"/>
          </w:tcPr>
          <w:p>
            <w:r>
              <w:rPr>
                <w:sz w:val="14"/>
              </w:rPr>
              <w:t>REP-GI-0625</w:t>
            </w:r>
          </w:p>
        </w:tc>
        <w:tc>
          <w:tcPr>
            <w:tcW w:type="dxa" w:w="1008"/>
            <w:tcBorders>
              <w:top w:val="single" w:sz="4" w:color="D9D9D9"/>
              <w:left w:val="single" w:sz="4" w:color="D9D9D9"/>
              <w:bottom w:val="single" w:sz="4" w:color="D9D9D9"/>
              <w:right w:val="single" w:sz="4" w:color="D9D9D9"/>
            </w:tcBorders>
            <w:vAlign w:val="center"/>
          </w:tcPr>
          <w:p>
            <w:r>
              <w:rPr>
                <w:sz w:val="14"/>
              </w:rPr>
              <w:t>GI-0625</w:t>
            </w:r>
          </w:p>
        </w:tc>
        <w:tc>
          <w:tcPr>
            <w:tcW w:type="dxa" w:w="5184"/>
            <w:tcBorders>
              <w:top w:val="single" w:sz="4" w:color="D9D9D9"/>
              <w:left w:val="single" w:sz="4" w:color="D9D9D9"/>
              <w:bottom w:val="single" w:sz="4" w:color="D9D9D9"/>
              <w:right w:val="single" w:sz="4" w:color="D9D9D9"/>
            </w:tcBorders>
            <w:vAlign w:val="center"/>
          </w:tcPr>
          <w:p>
            <w:r>
              <w:rPr>
                <w:sz w:val="14"/>
              </w:rPr>
              <w:t>Upper Esophageal Sphincter Opening Segmentation with Convolutional Recurrent Neural Networks in High Resolution Cervical Auscultation. IEEE Journal of Biomedical and Health Informatics (2021).</w:t>
            </w:r>
          </w:p>
        </w:tc>
        <w:tc>
          <w:tcPr>
            <w:tcW w:type="dxa" w:w="1728"/>
            <w:tcBorders>
              <w:top w:val="single" w:sz="4" w:color="D9D9D9"/>
              <w:left w:val="single" w:sz="4" w:color="D9D9D9"/>
              <w:bottom w:val="single" w:sz="4" w:color="D9D9D9"/>
              <w:right w:val="single" w:sz="4" w:color="D9D9D9"/>
            </w:tcBorders>
            <w:vAlign w:val="center"/>
          </w:tcPr>
          <w:p>
            <w:r>
              <w:rPr>
                <w:sz w:val="14"/>
              </w:rPr>
              <w:t>10.1109/jbhi.2020.3000057</w:t>
            </w:r>
          </w:p>
        </w:tc>
      </w:tr>
      <w:tr>
        <w:tc>
          <w:tcPr>
            <w:tcW w:type="dxa" w:w="576"/>
            <w:tcBorders>
              <w:top w:val="single" w:sz="4" w:color="D9D9D9"/>
              <w:left w:val="single" w:sz="4" w:color="D9D9D9"/>
              <w:bottom w:val="single" w:sz="4" w:color="D9D9D9"/>
              <w:right w:val="single" w:sz="4" w:color="D9D9D9"/>
            </w:tcBorders>
            <w:vAlign w:val="center"/>
            <w:shd w:fill="F6F8FA"/>
          </w:tcPr>
          <w:p>
            <w:r>
              <w:rPr>
                <w:sz w:val="14"/>
              </w:rPr>
              <w:t>39</w:t>
            </w:r>
          </w:p>
        </w:tc>
        <w:tc>
          <w:tcPr>
            <w:tcW w:type="dxa" w:w="1008"/>
            <w:tcBorders>
              <w:top w:val="single" w:sz="4" w:color="D9D9D9"/>
              <w:left w:val="single" w:sz="4" w:color="D9D9D9"/>
              <w:bottom w:val="single" w:sz="4" w:color="D9D9D9"/>
              <w:right w:val="single" w:sz="4" w:color="D9D9D9"/>
            </w:tcBorders>
            <w:vAlign w:val="center"/>
            <w:shd w:fill="F6F8FA"/>
          </w:tcPr>
          <w:p>
            <w:r>
              <w:rPr>
                <w:sz w:val="14"/>
              </w:rPr>
              <w:t>STUDY-031</w:t>
            </w:r>
          </w:p>
        </w:tc>
        <w:tc>
          <w:tcPr>
            <w:tcW w:type="dxa" w:w="1296"/>
            <w:tcBorders>
              <w:top w:val="single" w:sz="4" w:color="D9D9D9"/>
              <w:left w:val="single" w:sz="4" w:color="D9D9D9"/>
              <w:bottom w:val="single" w:sz="4" w:color="D9D9D9"/>
              <w:right w:val="single" w:sz="4" w:color="D9D9D9"/>
            </w:tcBorders>
            <w:vAlign w:val="center"/>
            <w:shd w:fill="F6F8FA"/>
          </w:tcPr>
          <w:p>
            <w:r>
              <w:rPr>
                <w:sz w:val="14"/>
              </w:rPr>
              <w:t>REP-GI-0630</w:t>
            </w:r>
          </w:p>
        </w:tc>
        <w:tc>
          <w:tcPr>
            <w:tcW w:type="dxa" w:w="1008"/>
            <w:tcBorders>
              <w:top w:val="single" w:sz="4" w:color="D9D9D9"/>
              <w:left w:val="single" w:sz="4" w:color="D9D9D9"/>
              <w:bottom w:val="single" w:sz="4" w:color="D9D9D9"/>
              <w:right w:val="single" w:sz="4" w:color="D9D9D9"/>
            </w:tcBorders>
            <w:vAlign w:val="center"/>
            <w:shd w:fill="F6F8FA"/>
          </w:tcPr>
          <w:p>
            <w:r>
              <w:rPr>
                <w:sz w:val="14"/>
              </w:rPr>
              <w:t>GI-0630</w:t>
            </w:r>
          </w:p>
        </w:tc>
        <w:tc>
          <w:tcPr>
            <w:tcW w:type="dxa" w:w="5184"/>
            <w:tcBorders>
              <w:top w:val="single" w:sz="4" w:color="D9D9D9"/>
              <w:left w:val="single" w:sz="4" w:color="D9D9D9"/>
              <w:bottom w:val="single" w:sz="4" w:color="D9D9D9"/>
              <w:right w:val="single" w:sz="4" w:color="D9D9D9"/>
            </w:tcBorders>
            <w:vAlign w:val="center"/>
            <w:shd w:fill="F6F8FA"/>
          </w:tcPr>
          <w:p>
            <w:r>
              <w:rPr>
                <w:sz w:val="14"/>
              </w:rPr>
              <w:t>[Use of neural networks in medicine: concerning dyspeptic pathology].. Atencion primaria (2002).</w:t>
            </w:r>
          </w:p>
        </w:tc>
        <w:tc>
          <w:tcPr>
            <w:tcW w:type="dxa" w:w="1728"/>
            <w:tcBorders>
              <w:top w:val="single" w:sz="4" w:color="D9D9D9"/>
              <w:left w:val="single" w:sz="4" w:color="D9D9D9"/>
              <w:bottom w:val="single" w:sz="4" w:color="D9D9D9"/>
              <w:right w:val="single" w:sz="4" w:color="D9D9D9"/>
            </w:tcBorders>
            <w:vAlign w:val="center"/>
            <w:shd w:fill="F6F8FA"/>
          </w:tcPr>
          <w:p>
            <w:r>
              <w:rPr>
                <w:sz w:val="14"/>
              </w:rPr>
              <w:t>10.1016/s0212-6567(02)78978-6</w:t>
            </w:r>
          </w:p>
        </w:tc>
      </w:tr>
    </w:tbl>
    <w:p>
      <w:pPr>
        <w:pStyle w:val="Heading1"/>
        <w:keepNext/>
      </w:pPr>
      <w:r>
        <w:t>S5. Frozen Data-Charting Form and Codebook</w:t>
      </w:r>
    </w:p>
    <w:p>
      <w:r>
        <w:t>The frozen form is version 1.0, dated 5 September 2026. It covers 87 fields across identification, study characteristics, population, data modality, model method, outcomes, implementation, limitations, and extraction administration. The complete editable form and codebook are supplied in the master workbook and Manuscript_Tables.xlsx.</w:t>
      </w:r>
    </w:p>
    <w:p>
      <w:pPr>
        <w:pStyle w:val="Heading1"/>
        <w:keepNext/>
      </w:pPr>
      <w:r>
        <w:t>S6. Detailed Extraction Dataset</w:t>
      </w:r>
    </w:p>
    <w:p>
      <w:r>
        <w:t>The complete 32-report, 87-field dataset is supplied in the FINAL_EXTRACTION sheet of the authoritative master workbook. It is not reproduced as a Word table because its width would compromise accuracy and usability.</w:t>
      </w:r>
    </w:p>
    <w:p>
      <w:pPr>
        <w:pStyle w:val="Heading1"/>
        <w:keepNext/>
      </w:pPr>
      <w:r>
        <w:t>S7. Funding and Conflicts Register</w:t>
      </w:r>
    </w:p>
    <w:p>
      <w:r>
        <w:t>This scoping review received no external funding, and no external funder had a role in the review. The authors declare no conflicts of interest. Included-report funding was NR in 24 of 32 reports and conflict information was NR in 30 of 32 reports. Extracted source text is preserved in the workbook.</w:t>
      </w:r>
    </w:p>
    <w:p>
      <w:pPr>
        <w:pStyle w:val="Heading1"/>
        <w:keepNext/>
      </w:pPr>
      <w:r>
        <w:t>S8. Protocol Deviations</w:t>
      </w:r>
    </w:p>
    <w:p>
      <w:r>
        <w:t>On 21 August 2026, age was removed as an eligibility criterion from the earlier adult-focused framework before final consensus decisions were frozen. The amendment aligned eligibility with the GI/esophageal review question and prevented relevant mixed-age or age-unspecified evidence from being excluded solely because adult results were not separable. The final screening used frozen age-neutral PCC criteria. The title-and-abstract consensus was reconstructed from the frozen full-text universe and ratified by both reviewers. The review team confirmed that no other protocol deviations occurred.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