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1f3a5f"/>
        </w:rPr>
        <w:t xml:space="preserve">Neuraxial versus General Anesthesia and Early Functional Recovery Burden after Lower-Limb Arthroplasty: A Retrospective Cohort Study</w:t>
      </w:r>
    </w:p>
    <w:p>
      <w:pPr>
        <w:spacing w:after="200" w:before="60"/>
      </w:pPr>
      <w:r>
        <w:rPr>
          <w:i/>
          <w:iCs/>
          <w:color w:val="555555"/>
          <w:sz w:val="17"/>
          <w:szCs w:val="17"/>
        </w:rPr>
        <w:t xml:space="preserve">Manuscript draft geared for the Journal of Functional Morphology and Kinesiology. Bracketed items [ ] require author input. All estimates are the study's own output and should be verified against the analysis before submission.</w:t>
      </w:r>
    </w:p>
    <w:p>
      <w:pPr>
        <w:pStyle w:val="Heading1"/>
        <w:spacing w:after="120" w:before="280"/>
      </w:pPr>
      <w:r>
        <w:rPr>
          <w:b/>
          <w:bCs/>
          <w:color w:val="1f3a5f"/>
        </w:rPr>
        <w:t xml:space="preserve">Abstract</w:t>
      </w:r>
    </w:p>
    <w:p>
      <w:pPr>
        <w:spacing w:after="150"/>
        <w:jc w:val="both"/>
      </w:pPr>
      <w:r>
        <w:rPr>
          <w:sz w:val="22"/>
          <w:szCs w:val="22"/>
        </w:rPr>
        <w:t xml:space="preserve">Background: Recovery after lower-limb joint arthroplasty depends on modifiable perioperative factors. Anesthetic technique may influence the early recovery trajectory, but its relationship to recovery burden in a musculoskeletal-surgical population is incompletely characterized. Methods: In a retrospective cohort of adults undergoing hip or knee arthroplasty drawn from a large perioperative registry, we compared neuraxial versus general anesthesia. The primary outcome was hospital length of stay (LOS), a marker of early functional recovery burden; the secondary outcome was postoperative intensive care unit (ICU) admission. Multivariable Gamma and logistic regression were adjusted for age, sex, ASA class, emergency status, and procedure type, with inverse probability of treatment weighting (IPTW) and a broader orthopedic cohort as sensitivity analyses. Results: Among 2,540 arthroplasty patients (269 general, 2,271 neuraxial), neuraxial anesthesia was associated with shorter LOS (adjusted ratio of mean LOS 0.892, 95% CI 0.840–0.947) and lower odds of ICU admission (OR 0.494, 95% CI 0.324–0.753). Findings were consistent after IPTW and in the broader cohort. Conclusions: In this musculoskeletal-surgical population, neuraxial anesthesia was associated with reduced early recovery burden. Anesthetic technique may represent a modifiable element of the arthroplasty recovery pathway, though residual confounding cannot be excluded. Keywords: arthroplasty; neuraxial anesthesia; functional recovery; length of stay; perioperative care.</w:t>
      </w:r>
    </w:p>
    <w:p>
      <w:pPr>
        <w:pStyle w:val="Heading1"/>
        <w:spacing w:after="120" w:before="280"/>
      </w:pPr>
      <w:r>
        <w:rPr>
          <w:b/>
          <w:bCs/>
          <w:color w:val="1f3a5f"/>
        </w:rPr>
        <w:t xml:space="preserve">1. Introduction</w:t>
      </w:r>
    </w:p>
    <w:p>
      <w:pPr>
        <w:spacing w:after="150"/>
        <w:jc w:val="both"/>
      </w:pPr>
      <w:r>
        <w:rPr>
          <w:sz w:val="22"/>
          <w:szCs w:val="22"/>
        </w:rPr>
        <w:t xml:space="preserve">Total hip and knee arthroplasty are among the most common and successful orthopedic procedures, and the focus of arthroplasty care has increasingly shifted from the technical success of the operation toward the quality and speed of functional recovery. Enhanced recovery after surgery (ERAS) pathways, early mobilization, and rehabilitation-oriented perioperative protocols reflect a growing understanding that postoperative recovery is shaped by modifiable elements of care, not solely by the arthroplasty itself. Within this framework, the trajectory by which a patient returns to function, and the burden of the immediate postoperative period, are central outcomes for the musculoskeletal-surgical population.</w:t>
      </w:r>
    </w:p>
    <w:p>
      <w:pPr>
        <w:spacing w:after="150"/>
        <w:jc w:val="both"/>
      </w:pPr>
      <w:r>
        <w:rPr>
          <w:sz w:val="22"/>
          <w:szCs w:val="22"/>
        </w:rPr>
        <w:t xml:space="preserve">Anesthetic technique is one such modifiable factor. Neuraxial (spinal or epidural) anesthesia and general anesthesia represent the two dominant approaches for lower-limb arthroplasty, and they differ in their physiological effects on the perioperative period, including pain control, hemodynamic stability, and early mobilization. Whether the choice of anesthetic technique is associated with the burden of early recovery, as reflected in the duration of hospitalization and the need for critical-care support, is a question of direct relevance to how arthroplasty recovery pathways are designed.</w:t>
      </w:r>
    </w:p>
    <w:p>
      <w:pPr>
        <w:spacing w:after="150"/>
        <w:jc w:val="both"/>
      </w:pPr>
      <w:r>
        <w:rPr>
          <w:sz w:val="22"/>
          <w:szCs w:val="22"/>
        </w:rPr>
        <w:t xml:space="preserve">Length of stay after arthroplasty, while an administrative measure, is widely used as a marker of early functional recovery burden, because in contemporary practice discharge is largely governed by the achievement of functional milestones (mobilization, pain control, and safe return to the home environment). Prolonged stay and unplanned critical-care admission signal a more encumbered recovery. We therefore examined the association between anesthetic technique and these markers in a large cohort of lower-limb arthroplasty patients, hypothesizing that neuraxial anesthesia would be associated with a lower early recovery burden.</w:t>
      </w:r>
    </w:p>
    <w:p>
      <w:pPr>
        <w:pStyle w:val="Heading1"/>
        <w:spacing w:after="120" w:before="280"/>
      </w:pPr>
      <w:r>
        <w:rPr>
          <w:b/>
          <w:bCs/>
          <w:color w:val="1f3a5f"/>
        </w:rPr>
        <w:t xml:space="preserve">2. Materials and Methods</w:t>
      </w:r>
    </w:p>
    <w:p>
      <w:pPr>
        <w:pStyle w:val="Heading2"/>
        <w:spacing w:after="100" w:before="200"/>
      </w:pPr>
      <w:r>
        <w:rPr>
          <w:b/>
          <w:bCs/>
          <w:color w:val="1f3a5f"/>
        </w:rPr>
        <w:t xml:space="preserve">2.1 Data source and design</w:t>
      </w:r>
    </w:p>
    <w:p>
      <w:pPr>
        <w:spacing w:after="150"/>
        <w:jc w:val="both"/>
      </w:pPr>
      <w:r>
        <w:rPr>
          <w:sz w:val="22"/>
          <w:szCs w:val="22"/>
        </w:rPr>
        <w:t xml:space="preserve">We performed a retrospective cohort study using the INSPIRE perioperative registry, a publicly available de-identified dataset of approximately 130,000 surgical operations performed at a large academic center [Seoul National University Hospital] over [2011–2020]. The dataset includes demographics, ASA physical status, procedure codes (ICD-10-PCS), anesthesia type, and perioperative outcomes. Reporting follows the STROBE guideline. [Ethics/IRB statement to be added.]</w:t>
      </w:r>
    </w:p>
    <w:p>
      <w:pPr>
        <w:pStyle w:val="Heading2"/>
        <w:spacing w:after="100" w:before="200"/>
      </w:pPr>
      <w:r>
        <w:rPr>
          <w:b/>
          <w:bCs/>
          <w:color w:val="1f3a5f"/>
        </w:rPr>
        <w:t xml:space="preserve">2.2 Study population</w:t>
      </w:r>
    </w:p>
    <w:p>
      <w:pPr>
        <w:spacing w:after="150"/>
        <w:jc w:val="both"/>
      </w:pPr>
      <w:r>
        <w:rPr>
          <w:sz w:val="22"/>
          <w:szCs w:val="22"/>
        </w:rPr>
        <w:t xml:space="preserve">The primary cohort comprised adults undergoing lower-limb joint arthroplasty, identified a priori by ICD-10-PCS codes for hip and knee replacement, performed under general or neuraxial anesthesia. Operations under other anesthesia types (monitored anesthesia care, peripheral regional) were excluded. A broader all-orthopedic cohort was defined for sensitivity analysis. Cohort derivation is shown in Figure 3. In the arthroplasty cohort, 16 operations (0.6%) were excluded for missing covariate data (primarily ASA class); the primary analysis was complete-case.</w:t>
      </w:r>
    </w:p>
    <w:p>
      <w:pPr>
        <w:pStyle w:val="Heading2"/>
        <w:spacing w:after="100" w:before="200"/>
      </w:pPr>
      <w:r>
        <w:rPr>
          <w:b/>
          <w:bCs/>
          <w:color w:val="1f3a5f"/>
        </w:rPr>
        <w:t xml:space="preserve">2.3 Exposure, outcomes, and covariates</w:t>
      </w:r>
    </w:p>
    <w:p>
      <w:pPr>
        <w:spacing w:after="150"/>
        <w:jc w:val="both"/>
      </w:pPr>
      <w:r>
        <w:rPr>
          <w:sz w:val="22"/>
          <w:szCs w:val="22"/>
        </w:rPr>
        <w:t xml:space="preserve">The exposure was anesthesia type (neuraxial vs general, reference). The primary outcome was hospital length of stay, used as a marker of early functional recovery burden; the secondary outcome was postoperative ICU admission. Models were adjusted for age, sex, ASA class (1–2 vs 3+), emergency status, and procedure type (hip vs knee).</w:t>
      </w:r>
    </w:p>
    <w:p>
      <w:pPr>
        <w:pStyle w:val="Heading2"/>
        <w:spacing w:after="100" w:before="200"/>
      </w:pPr>
      <w:r>
        <w:rPr>
          <w:b/>
          <w:bCs/>
          <w:color w:val="1f3a5f"/>
        </w:rPr>
        <w:t xml:space="preserve">2.4 Statistical analysis</w:t>
      </w:r>
    </w:p>
    <w:p>
      <w:pPr>
        <w:spacing w:after="150"/>
        <w:jc w:val="both"/>
      </w:pPr>
      <w:r>
        <w:rPr>
          <w:sz w:val="22"/>
          <w:szCs w:val="22"/>
        </w:rPr>
        <w:t xml:space="preserve">Baseline characteristics were compared using standardized mean differences (SMD; &lt;0.10 considered balanced). Because length of stay was right-skewed, it was modeled with a generalized linear model (Gamma family, log link), with exponentiated coefficients interpreted as the ratio of mean LOS. ICU admission was modeled by logistic regression (odds ratios). To address confounding by indication, a propensity score for neuraxial anesthesia was estimated and stabilized inverse probability of treatment weights (truncated at the 99th percentile) were applied. Model fit was assessed descriptively (Pearson dispersion for the Gamma model, with a log-normal comparator; c-statistic for the logistic model). Analyses used Python (pandas, statsmodels). A two-sided p&lt;0.05 was considered significant.</w:t>
      </w:r>
    </w:p>
    <w:p>
      <w:pPr>
        <w:pStyle w:val="Heading1"/>
        <w:spacing w:after="120" w:before="280"/>
      </w:pPr>
      <w:r>
        <w:rPr>
          <w:b/>
          <w:bCs/>
          <w:color w:val="1f3a5f"/>
        </w:rPr>
        <w:t xml:space="preserve">3. Results</w:t>
      </w:r>
    </w:p>
    <w:p>
      <w:pPr>
        <w:pStyle w:val="Heading2"/>
        <w:spacing w:after="100" w:before="200"/>
      </w:pPr>
      <w:r>
        <w:rPr>
          <w:b/>
          <w:bCs/>
          <w:color w:val="1f3a5f"/>
        </w:rPr>
        <w:t xml:space="preserve">3.1 Cohort characteristics</w:t>
      </w:r>
    </w:p>
    <w:p>
      <w:pPr>
        <w:spacing w:after="150"/>
        <w:jc w:val="both"/>
      </w:pPr>
      <w:r>
        <w:rPr>
          <w:sz w:val="22"/>
          <w:szCs w:val="22"/>
        </w:rPr>
        <w:t xml:space="preserve">Of 17,433 orthopedic operations, restriction to general or neuraxial anesthesia and to hip and knee arthroplasty, with exclusion of 16 operations for missing data, yielded an analytic cohort of 2,540 (269 general, 2,271 neuraxial; Figure 3). Baseline characteristics are shown in Table 1. General-anesthesia patients were older, more frequently ASA 3+ (22.7% vs 8.4%), and more often underwent emergency surgery, indicating non-random assignment of anesthetic technique.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060"/>
        <w:gridCol w:w="2200"/>
        <w:gridCol w:w="2400"/>
        <w:gridCol w:w="900"/>
        <w:gridCol w:w="900"/>
      </w:tblGrid>
      <w:tr>
        <w:trPr>
          <w:tblHeader/>
        </w:trPr>
        <w:tc>
          <w:tcPr>
            <w:tcW w:type="dxa" w:w="3060"/>
            <w:shd w:fill="1f3a5f" w:color="auto" w:val="clear"/>
            <w:tcMar>
              <w:top w:type="dxa" w:w="40"/>
              <w:left w:type="dxa" w:w="80"/>
              <w:bottom w:type="dxa" w:w="40"/>
              <w:right w:type="dxa" w:w="80"/>
            </w:tcMar>
          </w:tcPr>
          <w:p>
            <w:pPr>
              <w:jc w:val="left"/>
            </w:pPr>
            <w:r>
              <w:rPr>
                <w:b/>
                <w:bCs/>
                <w:sz w:val="18"/>
                <w:szCs w:val="18"/>
              </w:rPr>
              <w:t xml:space="preserve">Characteristic</w:t>
            </w:r>
          </w:p>
        </w:tc>
        <w:tc>
          <w:tcPr>
            <w:tcW w:type="dxa" w:w="2200"/>
            <w:shd w:fill="1f3a5f" w:color="auto" w:val="clear"/>
            <w:tcMar>
              <w:top w:type="dxa" w:w="40"/>
              <w:left w:type="dxa" w:w="80"/>
              <w:bottom w:type="dxa" w:w="40"/>
              <w:right w:type="dxa" w:w="80"/>
            </w:tcMar>
          </w:tcPr>
          <w:p>
            <w:pPr>
              <w:jc w:val="center"/>
            </w:pPr>
            <w:r>
              <w:rPr>
                <w:b/>
                <w:bCs/>
                <w:sz w:val="18"/>
                <w:szCs w:val="18"/>
              </w:rPr>
              <w:t xml:space="preserve">General (n=269)</w:t>
            </w:r>
          </w:p>
        </w:tc>
        <w:tc>
          <w:tcPr>
            <w:tcW w:type="dxa" w:w="2400"/>
            <w:shd w:fill="1f3a5f" w:color="auto" w:val="clear"/>
            <w:tcMar>
              <w:top w:type="dxa" w:w="40"/>
              <w:left w:type="dxa" w:w="80"/>
              <w:bottom w:type="dxa" w:w="40"/>
              <w:right w:type="dxa" w:w="80"/>
            </w:tcMar>
          </w:tcPr>
          <w:p>
            <w:pPr>
              <w:jc w:val="center"/>
            </w:pPr>
            <w:r>
              <w:rPr>
                <w:b/>
                <w:bCs/>
                <w:sz w:val="18"/>
                <w:szCs w:val="18"/>
              </w:rPr>
              <w:t xml:space="preserve">Neuraxial (n=2271)</w:t>
            </w:r>
          </w:p>
        </w:tc>
        <w:tc>
          <w:tcPr>
            <w:tcW w:type="dxa" w:w="900"/>
            <w:shd w:fill="1f3a5f" w:color="auto" w:val="clear"/>
            <w:tcMar>
              <w:top w:type="dxa" w:w="40"/>
              <w:left w:type="dxa" w:w="80"/>
              <w:bottom w:type="dxa" w:w="40"/>
              <w:right w:type="dxa" w:w="80"/>
            </w:tcMar>
          </w:tcPr>
          <w:p>
            <w:pPr>
              <w:jc w:val="center"/>
            </w:pPr>
            <w:r>
              <w:rPr>
                <w:b/>
                <w:bCs/>
                <w:sz w:val="18"/>
                <w:szCs w:val="18"/>
              </w:rPr>
              <w:t xml:space="preserve">SMD</w:t>
            </w:r>
          </w:p>
        </w:tc>
        <w:tc>
          <w:tcPr>
            <w:tcW w:type="dxa" w:w="900"/>
            <w:shd w:fill="1f3a5f" w:color="auto" w:val="clear"/>
            <w:tcMar>
              <w:top w:type="dxa" w:w="40"/>
              <w:left w:type="dxa" w:w="80"/>
              <w:bottom w:type="dxa" w:w="40"/>
              <w:right w:type="dxa" w:w="80"/>
            </w:tcMar>
          </w:tcPr>
          <w:p>
            <w:pPr>
              <w:jc w:val="center"/>
            </w:pPr>
            <w:r>
              <w:rPr>
                <w:b/>
                <w:bCs/>
                <w:sz w:val="18"/>
                <w:szCs w:val="18"/>
              </w:rPr>
              <w:t xml:space="preserve">Missing</w:t>
            </w:r>
          </w:p>
        </w:tc>
      </w:tr>
      <w:tr>
        <w:tc>
          <w:tcPr>
            <w:tcW w:type="dxa" w:w="3060"/>
            <w:tcMar>
              <w:top w:type="dxa" w:w="40"/>
              <w:left w:type="dxa" w:w="80"/>
              <w:bottom w:type="dxa" w:w="40"/>
              <w:right w:type="dxa" w:w="80"/>
            </w:tcMar>
          </w:tcPr>
          <w:p>
            <w:pPr>
              <w:jc w:val="left"/>
            </w:pPr>
            <w:r>
              <w:rPr>
                <w:b w:val="false"/>
                <w:bCs w:val="false"/>
                <w:sz w:val="18"/>
                <w:szCs w:val="18"/>
              </w:rPr>
              <w:t xml:space="preserve">Age, mean (SD)</w:t>
            </w:r>
          </w:p>
        </w:tc>
        <w:tc>
          <w:tcPr>
            <w:tcW w:type="dxa" w:w="2200"/>
            <w:tcMar>
              <w:top w:type="dxa" w:w="40"/>
              <w:left w:type="dxa" w:w="80"/>
              <w:bottom w:type="dxa" w:w="40"/>
              <w:right w:type="dxa" w:w="80"/>
            </w:tcMar>
          </w:tcPr>
          <w:p>
            <w:pPr>
              <w:jc w:val="center"/>
            </w:pPr>
            <w:r>
              <w:rPr>
                <w:b w:val="false"/>
                <w:bCs w:val="false"/>
                <w:sz w:val="18"/>
                <w:szCs w:val="18"/>
              </w:rPr>
              <w:t xml:space="preserve">68.1 (13.7)</w:t>
            </w:r>
          </w:p>
        </w:tc>
        <w:tc>
          <w:tcPr>
            <w:tcW w:type="dxa" w:w="2400"/>
            <w:tcMar>
              <w:top w:type="dxa" w:w="40"/>
              <w:left w:type="dxa" w:w="80"/>
              <w:bottom w:type="dxa" w:w="40"/>
              <w:right w:type="dxa" w:w="80"/>
            </w:tcMar>
          </w:tcPr>
          <w:p>
            <w:pPr>
              <w:jc w:val="center"/>
            </w:pPr>
            <w:r>
              <w:rPr>
                <w:b w:val="false"/>
                <w:bCs w:val="false"/>
                <w:sz w:val="18"/>
                <w:szCs w:val="18"/>
              </w:rPr>
              <w:t xml:space="preserve">66.1 (12.7)</w:t>
            </w:r>
          </w:p>
        </w:tc>
        <w:tc>
          <w:tcPr>
            <w:tcW w:type="dxa" w:w="900"/>
            <w:tcMar>
              <w:top w:type="dxa" w:w="40"/>
              <w:left w:type="dxa" w:w="80"/>
              <w:bottom w:type="dxa" w:w="40"/>
              <w:right w:type="dxa" w:w="80"/>
            </w:tcMar>
          </w:tcPr>
          <w:p>
            <w:pPr>
              <w:jc w:val="center"/>
            </w:pPr>
            <w:r>
              <w:rPr>
                <w:b w:val="false"/>
                <w:bCs w:val="false"/>
                <w:sz w:val="18"/>
                <w:szCs w:val="18"/>
              </w:rPr>
              <w:t xml:space="preserve">0.152</w:t>
            </w:r>
          </w:p>
        </w:tc>
        <w:tc>
          <w:tcPr>
            <w:tcW w:type="dxa" w:w="900"/>
            <w:tcMar>
              <w:top w:type="dxa" w:w="40"/>
              <w:left w:type="dxa" w:w="80"/>
              <w:bottom w:type="dxa" w:w="40"/>
              <w:right w:type="dxa" w:w="80"/>
            </w:tcMar>
          </w:tcPr>
          <w:p>
            <w:pPr>
              <w:jc w:val="center"/>
            </w:pPr>
            <w:r>
              <w:rPr>
                <w:b w:val="false"/>
                <w:bCs w:val="false"/>
                <w:sz w:val="18"/>
                <w:szCs w:val="18"/>
              </w:rPr>
              <w:t xml:space="preserve">0</w:t>
            </w:r>
          </w:p>
        </w:tc>
      </w:tr>
      <w:tr>
        <w:tc>
          <w:tcPr>
            <w:tcW w:type="dxa" w:w="3060"/>
            <w:shd w:fill="eef2f6" w:color="auto" w:val="clear"/>
            <w:tcMar>
              <w:top w:type="dxa" w:w="40"/>
              <w:left w:type="dxa" w:w="80"/>
              <w:bottom w:type="dxa" w:w="40"/>
              <w:right w:type="dxa" w:w="80"/>
            </w:tcMar>
          </w:tcPr>
          <w:p>
            <w:pPr>
              <w:jc w:val="left"/>
            </w:pPr>
            <w:r>
              <w:rPr>
                <w:b w:val="false"/>
                <w:bCs w:val="false"/>
                <w:sz w:val="18"/>
                <w:szCs w:val="18"/>
              </w:rPr>
              <w:t xml:space="preserve">Female, n (%)</w:t>
            </w:r>
          </w:p>
        </w:tc>
        <w:tc>
          <w:tcPr>
            <w:tcW w:type="dxa" w:w="2200"/>
            <w:shd w:fill="eef2f6" w:color="auto" w:val="clear"/>
            <w:tcMar>
              <w:top w:type="dxa" w:w="40"/>
              <w:left w:type="dxa" w:w="80"/>
              <w:bottom w:type="dxa" w:w="40"/>
              <w:right w:type="dxa" w:w="80"/>
            </w:tcMar>
          </w:tcPr>
          <w:p>
            <w:pPr>
              <w:jc w:val="center"/>
            </w:pPr>
            <w:r>
              <w:rPr>
                <w:b w:val="false"/>
                <w:bCs w:val="false"/>
                <w:sz w:val="18"/>
                <w:szCs w:val="18"/>
              </w:rPr>
              <w:t xml:space="preserve">177 (65.8)</w:t>
            </w:r>
          </w:p>
        </w:tc>
        <w:tc>
          <w:tcPr>
            <w:tcW w:type="dxa" w:w="2400"/>
            <w:shd w:fill="eef2f6" w:color="auto" w:val="clear"/>
            <w:tcMar>
              <w:top w:type="dxa" w:w="40"/>
              <w:left w:type="dxa" w:w="80"/>
              <w:bottom w:type="dxa" w:w="40"/>
              <w:right w:type="dxa" w:w="80"/>
            </w:tcMar>
          </w:tcPr>
          <w:p>
            <w:pPr>
              <w:jc w:val="center"/>
            </w:pPr>
            <w:r>
              <w:rPr>
                <w:b w:val="false"/>
                <w:bCs w:val="false"/>
                <w:sz w:val="18"/>
                <w:szCs w:val="18"/>
              </w:rPr>
              <w:t xml:space="preserve">1702 (74.9)</w:t>
            </w:r>
          </w:p>
        </w:tc>
        <w:tc>
          <w:tcPr>
            <w:tcW w:type="dxa" w:w="900"/>
            <w:shd w:fill="eef2f6" w:color="auto" w:val="clear"/>
            <w:tcMar>
              <w:top w:type="dxa" w:w="40"/>
              <w:left w:type="dxa" w:w="80"/>
              <w:bottom w:type="dxa" w:w="40"/>
              <w:right w:type="dxa" w:w="80"/>
            </w:tcMar>
          </w:tcPr>
          <w:p>
            <w:pPr>
              <w:jc w:val="center"/>
            </w:pPr>
            <w:r>
              <w:rPr>
                <w:b w:val="false"/>
                <w:bCs w:val="false"/>
                <w:sz w:val="18"/>
                <w:szCs w:val="18"/>
              </w:rPr>
              <w:t xml:space="preserve">−0.201</w:t>
            </w:r>
          </w:p>
        </w:tc>
        <w:tc>
          <w:tcPr>
            <w:tcW w:type="dxa" w:w="900"/>
            <w:shd w:fill="eef2f6" w:color="auto" w:val="clear"/>
            <w:tcMar>
              <w:top w:type="dxa" w:w="40"/>
              <w:left w:type="dxa" w:w="80"/>
              <w:bottom w:type="dxa" w:w="40"/>
              <w:right w:type="dxa" w:w="80"/>
            </w:tcMar>
          </w:tcPr>
          <w:p>
            <w:pPr>
              <w:jc w:val="center"/>
            </w:pPr>
            <w:r>
              <w:rPr>
                <w:b w:val="false"/>
                <w:bCs w:val="false"/>
                <w:sz w:val="18"/>
                <w:szCs w:val="18"/>
              </w:rPr>
              <w:t xml:space="preserve">0</w:t>
            </w:r>
          </w:p>
        </w:tc>
      </w:tr>
      <w:tr>
        <w:tc>
          <w:tcPr>
            <w:tcW w:type="dxa" w:w="3060"/>
            <w:tcMar>
              <w:top w:type="dxa" w:w="40"/>
              <w:left w:type="dxa" w:w="80"/>
              <w:bottom w:type="dxa" w:w="40"/>
              <w:right w:type="dxa" w:w="80"/>
            </w:tcMar>
          </w:tcPr>
          <w:p>
            <w:pPr>
              <w:jc w:val="left"/>
            </w:pPr>
            <w:r>
              <w:rPr>
                <w:b w:val="false"/>
                <w:bCs w:val="false"/>
                <w:sz w:val="18"/>
                <w:szCs w:val="18"/>
              </w:rPr>
              <w:t xml:space="preserve">BMI, mean (SD)</w:t>
            </w:r>
          </w:p>
        </w:tc>
        <w:tc>
          <w:tcPr>
            <w:tcW w:type="dxa" w:w="2200"/>
            <w:tcMar>
              <w:top w:type="dxa" w:w="40"/>
              <w:left w:type="dxa" w:w="80"/>
              <w:bottom w:type="dxa" w:w="40"/>
              <w:right w:type="dxa" w:w="80"/>
            </w:tcMar>
          </w:tcPr>
          <w:p>
            <w:pPr>
              <w:jc w:val="center"/>
            </w:pPr>
            <w:r>
              <w:rPr>
                <w:b w:val="false"/>
                <w:bCs w:val="false"/>
                <w:sz w:val="18"/>
                <w:szCs w:val="18"/>
              </w:rPr>
              <w:t xml:space="preserve">24.6 (4.3)</w:t>
            </w:r>
          </w:p>
        </w:tc>
        <w:tc>
          <w:tcPr>
            <w:tcW w:type="dxa" w:w="2400"/>
            <w:tcMar>
              <w:top w:type="dxa" w:w="40"/>
              <w:left w:type="dxa" w:w="80"/>
              <w:bottom w:type="dxa" w:w="40"/>
              <w:right w:type="dxa" w:w="80"/>
            </w:tcMar>
          </w:tcPr>
          <w:p>
            <w:pPr>
              <w:jc w:val="center"/>
            </w:pPr>
            <w:r>
              <w:rPr>
                <w:b w:val="false"/>
                <w:bCs w:val="false"/>
                <w:sz w:val="18"/>
                <w:szCs w:val="18"/>
              </w:rPr>
              <w:t xml:space="preserve">25.4 (3.9)</w:t>
            </w:r>
          </w:p>
        </w:tc>
        <w:tc>
          <w:tcPr>
            <w:tcW w:type="dxa" w:w="900"/>
            <w:tcMar>
              <w:top w:type="dxa" w:w="40"/>
              <w:left w:type="dxa" w:w="80"/>
              <w:bottom w:type="dxa" w:w="40"/>
              <w:right w:type="dxa" w:w="80"/>
            </w:tcMar>
          </w:tcPr>
          <w:p>
            <w:pPr>
              <w:jc w:val="center"/>
            </w:pPr>
            <w:r>
              <w:rPr>
                <w:b w:val="false"/>
                <w:bCs w:val="false"/>
                <w:sz w:val="18"/>
                <w:szCs w:val="18"/>
              </w:rPr>
              <w:t xml:space="preserve">−0.211</w:t>
            </w:r>
          </w:p>
        </w:tc>
        <w:tc>
          <w:tcPr>
            <w:tcW w:type="dxa" w:w="900"/>
            <w:tcMar>
              <w:top w:type="dxa" w:w="40"/>
              <w:left w:type="dxa" w:w="80"/>
              <w:bottom w:type="dxa" w:w="40"/>
              <w:right w:type="dxa" w:w="80"/>
            </w:tcMar>
          </w:tcPr>
          <w:p>
            <w:pPr>
              <w:jc w:val="center"/>
            </w:pPr>
            <w:r>
              <w:rPr>
                <w:b w:val="false"/>
                <w:bCs w:val="false"/>
                <w:sz w:val="18"/>
                <w:szCs w:val="18"/>
              </w:rPr>
              <w:t xml:space="preserve">36</w:t>
            </w:r>
          </w:p>
        </w:tc>
      </w:tr>
      <w:tr>
        <w:tc>
          <w:tcPr>
            <w:tcW w:type="dxa" w:w="3060"/>
            <w:shd w:fill="eef2f6" w:color="auto" w:val="clear"/>
            <w:tcMar>
              <w:top w:type="dxa" w:w="40"/>
              <w:left w:type="dxa" w:w="80"/>
              <w:bottom w:type="dxa" w:w="40"/>
              <w:right w:type="dxa" w:w="80"/>
            </w:tcMar>
          </w:tcPr>
          <w:p>
            <w:pPr>
              <w:jc w:val="left"/>
            </w:pPr>
            <w:r>
              <w:rPr>
                <w:b w:val="false"/>
                <w:bCs w:val="false"/>
                <w:sz w:val="18"/>
                <w:szCs w:val="18"/>
              </w:rPr>
              <w:t xml:space="preserve">Weight kg, mean (SD)</w:t>
            </w:r>
          </w:p>
        </w:tc>
        <w:tc>
          <w:tcPr>
            <w:tcW w:type="dxa" w:w="2200"/>
            <w:shd w:fill="eef2f6" w:color="auto" w:val="clear"/>
            <w:tcMar>
              <w:top w:type="dxa" w:w="40"/>
              <w:left w:type="dxa" w:w="80"/>
              <w:bottom w:type="dxa" w:w="40"/>
              <w:right w:type="dxa" w:w="80"/>
            </w:tcMar>
          </w:tcPr>
          <w:p>
            <w:pPr>
              <w:jc w:val="center"/>
            </w:pPr>
            <w:r>
              <w:rPr>
                <w:b w:val="false"/>
                <w:bCs w:val="false"/>
                <w:sz w:val="18"/>
                <w:szCs w:val="18"/>
              </w:rPr>
              <w:t xml:space="preserve">61.4 (11.1)</w:t>
            </w:r>
          </w:p>
        </w:tc>
        <w:tc>
          <w:tcPr>
            <w:tcW w:type="dxa" w:w="2400"/>
            <w:shd w:fill="eef2f6" w:color="auto" w:val="clear"/>
            <w:tcMar>
              <w:top w:type="dxa" w:w="40"/>
              <w:left w:type="dxa" w:w="80"/>
              <w:bottom w:type="dxa" w:w="40"/>
              <w:right w:type="dxa" w:w="80"/>
            </w:tcMar>
          </w:tcPr>
          <w:p>
            <w:pPr>
              <w:jc w:val="center"/>
            </w:pPr>
            <w:r>
              <w:rPr>
                <w:b w:val="false"/>
                <w:bCs w:val="false"/>
                <w:sz w:val="18"/>
                <w:szCs w:val="18"/>
              </w:rPr>
              <w:t xml:space="preserve">62.7 (11.2)</w:t>
            </w:r>
          </w:p>
        </w:tc>
        <w:tc>
          <w:tcPr>
            <w:tcW w:type="dxa" w:w="900"/>
            <w:shd w:fill="eef2f6" w:color="auto" w:val="clear"/>
            <w:tcMar>
              <w:top w:type="dxa" w:w="40"/>
              <w:left w:type="dxa" w:w="80"/>
              <w:bottom w:type="dxa" w:w="40"/>
              <w:right w:type="dxa" w:w="80"/>
            </w:tcMar>
          </w:tcPr>
          <w:p>
            <w:pPr>
              <w:jc w:val="center"/>
            </w:pPr>
            <w:r>
              <w:rPr>
                <w:b w:val="false"/>
                <w:bCs w:val="false"/>
                <w:sz w:val="18"/>
                <w:szCs w:val="18"/>
              </w:rPr>
              <w:t xml:space="preserve">−0.113</w:t>
            </w:r>
          </w:p>
        </w:tc>
        <w:tc>
          <w:tcPr>
            <w:tcW w:type="dxa" w:w="900"/>
            <w:shd w:fill="eef2f6" w:color="auto" w:val="clear"/>
            <w:tcMar>
              <w:top w:type="dxa" w:w="40"/>
              <w:left w:type="dxa" w:w="80"/>
              <w:bottom w:type="dxa" w:w="40"/>
              <w:right w:type="dxa" w:w="80"/>
            </w:tcMar>
          </w:tcPr>
          <w:p>
            <w:pPr>
              <w:jc w:val="center"/>
            </w:pPr>
            <w:r>
              <w:rPr>
                <w:b w:val="false"/>
                <w:bCs w:val="false"/>
                <w:sz w:val="18"/>
                <w:szCs w:val="18"/>
              </w:rPr>
              <w:t xml:space="preserve">26</w:t>
            </w:r>
          </w:p>
        </w:tc>
      </w:tr>
      <w:tr>
        <w:tc>
          <w:tcPr>
            <w:tcW w:type="dxa" w:w="3060"/>
            <w:tcMar>
              <w:top w:type="dxa" w:w="40"/>
              <w:left w:type="dxa" w:w="80"/>
              <w:bottom w:type="dxa" w:w="40"/>
              <w:right w:type="dxa" w:w="80"/>
            </w:tcMar>
          </w:tcPr>
          <w:p>
            <w:pPr>
              <w:jc w:val="left"/>
            </w:pPr>
            <w:r>
              <w:rPr>
                <w:b w:val="false"/>
                <w:bCs w:val="false"/>
                <w:sz w:val="18"/>
                <w:szCs w:val="18"/>
              </w:rPr>
              <w:t xml:space="preserve">Height cm, mean (SD)</w:t>
            </w:r>
          </w:p>
        </w:tc>
        <w:tc>
          <w:tcPr>
            <w:tcW w:type="dxa" w:w="2200"/>
            <w:tcMar>
              <w:top w:type="dxa" w:w="40"/>
              <w:left w:type="dxa" w:w="80"/>
              <w:bottom w:type="dxa" w:w="40"/>
              <w:right w:type="dxa" w:w="80"/>
            </w:tcMar>
          </w:tcPr>
          <w:p>
            <w:pPr>
              <w:jc w:val="center"/>
            </w:pPr>
            <w:r>
              <w:rPr>
                <w:b w:val="false"/>
                <w:bCs w:val="false"/>
                <w:sz w:val="18"/>
                <w:szCs w:val="18"/>
              </w:rPr>
              <w:t xml:space="preserve">158.4 (9.6)</w:t>
            </w:r>
          </w:p>
        </w:tc>
        <w:tc>
          <w:tcPr>
            <w:tcW w:type="dxa" w:w="2400"/>
            <w:tcMar>
              <w:top w:type="dxa" w:w="40"/>
              <w:left w:type="dxa" w:w="80"/>
              <w:bottom w:type="dxa" w:w="40"/>
              <w:right w:type="dxa" w:w="80"/>
            </w:tcMar>
          </w:tcPr>
          <w:p>
            <w:pPr>
              <w:jc w:val="center"/>
            </w:pPr>
            <w:r>
              <w:rPr>
                <w:b w:val="false"/>
                <w:bCs w:val="false"/>
                <w:sz w:val="18"/>
                <w:szCs w:val="18"/>
              </w:rPr>
              <w:t xml:space="preserve">157.1 (8.7)</w:t>
            </w:r>
          </w:p>
        </w:tc>
        <w:tc>
          <w:tcPr>
            <w:tcW w:type="dxa" w:w="900"/>
            <w:tcMar>
              <w:top w:type="dxa" w:w="40"/>
              <w:left w:type="dxa" w:w="80"/>
              <w:bottom w:type="dxa" w:w="40"/>
              <w:right w:type="dxa" w:w="80"/>
            </w:tcMar>
          </w:tcPr>
          <w:p>
            <w:pPr>
              <w:jc w:val="center"/>
            </w:pPr>
            <w:r>
              <w:rPr>
                <w:b w:val="false"/>
                <w:bCs w:val="false"/>
                <w:sz w:val="18"/>
                <w:szCs w:val="18"/>
              </w:rPr>
              <w:t xml:space="preserve">0.141</w:t>
            </w:r>
          </w:p>
        </w:tc>
        <w:tc>
          <w:tcPr>
            <w:tcW w:type="dxa" w:w="900"/>
            <w:tcMar>
              <w:top w:type="dxa" w:w="40"/>
              <w:left w:type="dxa" w:w="80"/>
              <w:bottom w:type="dxa" w:w="40"/>
              <w:right w:type="dxa" w:w="80"/>
            </w:tcMar>
          </w:tcPr>
          <w:p>
            <w:pPr>
              <w:jc w:val="center"/>
            </w:pPr>
            <w:r>
              <w:rPr>
                <w:b w:val="false"/>
                <w:bCs w:val="false"/>
                <w:sz w:val="18"/>
                <w:szCs w:val="18"/>
              </w:rPr>
              <w:t xml:space="preserve">13</w:t>
            </w:r>
          </w:p>
        </w:tc>
      </w:tr>
      <w:tr>
        <w:tc>
          <w:tcPr>
            <w:tcW w:type="dxa" w:w="3060"/>
            <w:shd w:fill="eef2f6" w:color="auto" w:val="clear"/>
            <w:tcMar>
              <w:top w:type="dxa" w:w="40"/>
              <w:left w:type="dxa" w:w="80"/>
              <w:bottom w:type="dxa" w:w="40"/>
              <w:right w:type="dxa" w:w="80"/>
            </w:tcMar>
          </w:tcPr>
          <w:p>
            <w:pPr>
              <w:jc w:val="left"/>
            </w:pPr>
            <w:r>
              <w:rPr>
                <w:b w:val="false"/>
                <w:bCs w:val="false"/>
                <w:sz w:val="18"/>
                <w:szCs w:val="18"/>
              </w:rPr>
              <w:t xml:space="preserve">ASA 3+, n (%)</w:t>
            </w:r>
          </w:p>
        </w:tc>
        <w:tc>
          <w:tcPr>
            <w:tcW w:type="dxa" w:w="2200"/>
            <w:shd w:fill="eef2f6" w:color="auto" w:val="clear"/>
            <w:tcMar>
              <w:top w:type="dxa" w:w="40"/>
              <w:left w:type="dxa" w:w="80"/>
              <w:bottom w:type="dxa" w:w="40"/>
              <w:right w:type="dxa" w:w="80"/>
            </w:tcMar>
          </w:tcPr>
          <w:p>
            <w:pPr>
              <w:jc w:val="center"/>
            </w:pPr>
            <w:r>
              <w:rPr>
                <w:b w:val="false"/>
                <w:bCs w:val="false"/>
                <w:sz w:val="18"/>
                <w:szCs w:val="18"/>
              </w:rPr>
              <w:t xml:space="preserve">61 (22.7)</w:t>
            </w:r>
          </w:p>
        </w:tc>
        <w:tc>
          <w:tcPr>
            <w:tcW w:type="dxa" w:w="2400"/>
            <w:shd w:fill="eef2f6" w:color="auto" w:val="clear"/>
            <w:tcMar>
              <w:top w:type="dxa" w:w="40"/>
              <w:left w:type="dxa" w:w="80"/>
              <w:bottom w:type="dxa" w:w="40"/>
              <w:right w:type="dxa" w:w="80"/>
            </w:tcMar>
          </w:tcPr>
          <w:p>
            <w:pPr>
              <w:jc w:val="center"/>
            </w:pPr>
            <w:r>
              <w:rPr>
                <w:b w:val="false"/>
                <w:bCs w:val="false"/>
                <w:sz w:val="18"/>
                <w:szCs w:val="18"/>
              </w:rPr>
              <w:t xml:space="preserve">191 (8.4)</w:t>
            </w:r>
          </w:p>
        </w:tc>
        <w:tc>
          <w:tcPr>
            <w:tcW w:type="dxa" w:w="900"/>
            <w:shd w:fill="eef2f6" w:color="auto" w:val="clear"/>
            <w:tcMar>
              <w:top w:type="dxa" w:w="40"/>
              <w:left w:type="dxa" w:w="80"/>
              <w:bottom w:type="dxa" w:w="40"/>
              <w:right w:type="dxa" w:w="80"/>
            </w:tcMar>
          </w:tcPr>
          <w:p>
            <w:pPr>
              <w:jc w:val="center"/>
            </w:pPr>
            <w:r>
              <w:rPr>
                <w:b w:val="false"/>
                <w:bCs w:val="false"/>
                <w:sz w:val="18"/>
                <w:szCs w:val="18"/>
              </w:rPr>
              <w:t xml:space="preserve">0.402</w:t>
            </w:r>
          </w:p>
        </w:tc>
        <w:tc>
          <w:tcPr>
            <w:tcW w:type="dxa" w:w="900"/>
            <w:shd w:fill="eef2f6" w:color="auto" w:val="clear"/>
            <w:tcMar>
              <w:top w:type="dxa" w:w="40"/>
              <w:left w:type="dxa" w:w="80"/>
              <w:bottom w:type="dxa" w:w="40"/>
              <w:right w:type="dxa" w:w="80"/>
            </w:tcMar>
          </w:tcPr>
          <w:p>
            <w:pPr>
              <w:jc w:val="center"/>
            </w:pPr>
            <w:r>
              <w:rPr>
                <w:b w:val="false"/>
                <w:bCs w:val="false"/>
                <w:sz w:val="18"/>
                <w:szCs w:val="18"/>
              </w:rPr>
              <w:t xml:space="preserve">0</w:t>
            </w:r>
          </w:p>
        </w:tc>
      </w:tr>
      <w:tr>
        <w:tc>
          <w:tcPr>
            <w:tcW w:type="dxa" w:w="3060"/>
            <w:tcMar>
              <w:top w:type="dxa" w:w="40"/>
              <w:left w:type="dxa" w:w="80"/>
              <w:bottom w:type="dxa" w:w="40"/>
              <w:right w:type="dxa" w:w="80"/>
            </w:tcMar>
          </w:tcPr>
          <w:p>
            <w:pPr>
              <w:jc w:val="left"/>
            </w:pPr>
            <w:r>
              <w:rPr>
                <w:b w:val="false"/>
                <w:bCs w:val="false"/>
                <w:sz w:val="18"/>
                <w:szCs w:val="18"/>
              </w:rPr>
              <w:t xml:space="preserve">Emergency surgery, n (%)</w:t>
            </w:r>
          </w:p>
        </w:tc>
        <w:tc>
          <w:tcPr>
            <w:tcW w:type="dxa" w:w="2200"/>
            <w:tcMar>
              <w:top w:type="dxa" w:w="40"/>
              <w:left w:type="dxa" w:w="80"/>
              <w:bottom w:type="dxa" w:w="40"/>
              <w:right w:type="dxa" w:w="80"/>
            </w:tcMar>
          </w:tcPr>
          <w:p>
            <w:pPr>
              <w:jc w:val="center"/>
            </w:pPr>
            <w:r>
              <w:rPr>
                <w:b w:val="false"/>
                <w:bCs w:val="false"/>
                <w:sz w:val="18"/>
                <w:szCs w:val="18"/>
              </w:rPr>
              <w:t xml:space="preserve">22 (8.2)</w:t>
            </w:r>
          </w:p>
        </w:tc>
        <w:tc>
          <w:tcPr>
            <w:tcW w:type="dxa" w:w="2400"/>
            <w:tcMar>
              <w:top w:type="dxa" w:w="40"/>
              <w:left w:type="dxa" w:w="80"/>
              <w:bottom w:type="dxa" w:w="40"/>
              <w:right w:type="dxa" w:w="80"/>
            </w:tcMar>
          </w:tcPr>
          <w:p>
            <w:pPr>
              <w:jc w:val="center"/>
            </w:pPr>
            <w:r>
              <w:rPr>
                <w:b w:val="false"/>
                <w:bCs w:val="false"/>
                <w:sz w:val="18"/>
                <w:szCs w:val="18"/>
              </w:rPr>
              <w:t xml:space="preserve">62 (2.7)</w:t>
            </w:r>
          </w:p>
        </w:tc>
        <w:tc>
          <w:tcPr>
            <w:tcW w:type="dxa" w:w="900"/>
            <w:tcMar>
              <w:top w:type="dxa" w:w="40"/>
              <w:left w:type="dxa" w:w="80"/>
              <w:bottom w:type="dxa" w:w="40"/>
              <w:right w:type="dxa" w:w="80"/>
            </w:tcMar>
          </w:tcPr>
          <w:p>
            <w:pPr>
              <w:jc w:val="center"/>
            </w:pPr>
            <w:r>
              <w:rPr>
                <w:b w:val="false"/>
                <w:bCs w:val="false"/>
                <w:sz w:val="18"/>
                <w:szCs w:val="18"/>
              </w:rPr>
              <w:t xml:space="preserve">0.242</w:t>
            </w:r>
          </w:p>
        </w:tc>
        <w:tc>
          <w:tcPr>
            <w:tcW w:type="dxa" w:w="900"/>
            <w:tcMar>
              <w:top w:type="dxa" w:w="40"/>
              <w:left w:type="dxa" w:w="80"/>
              <w:bottom w:type="dxa" w:w="40"/>
              <w:right w:type="dxa" w:w="80"/>
            </w:tcMar>
          </w:tcPr>
          <w:p>
            <w:pPr>
              <w:jc w:val="center"/>
            </w:pPr>
            <w:r>
              <w:rPr>
                <w:b w:val="false"/>
                <w:bCs w:val="false"/>
                <w:sz w:val="18"/>
                <w:szCs w:val="18"/>
              </w:rPr>
              <w:t xml:space="preserve">0</w:t>
            </w:r>
          </w:p>
        </w:tc>
      </w:tr>
      <w:tr>
        <w:tc>
          <w:tcPr>
            <w:tcW w:type="dxa" w:w="3060"/>
            <w:shd w:fill="eef2f6" w:color="auto" w:val="clear"/>
            <w:tcMar>
              <w:top w:type="dxa" w:w="40"/>
              <w:left w:type="dxa" w:w="80"/>
              <w:bottom w:type="dxa" w:w="40"/>
              <w:right w:type="dxa" w:w="80"/>
            </w:tcMar>
          </w:tcPr>
          <w:p>
            <w:pPr>
              <w:jc w:val="left"/>
            </w:pPr>
            <w:r>
              <w:rPr>
                <w:b w:val="false"/>
                <w:bCs w:val="false"/>
                <w:sz w:val="18"/>
                <w:szCs w:val="18"/>
              </w:rPr>
              <w:t xml:space="preserve">Knee (vs hip), n (%)</w:t>
            </w:r>
          </w:p>
        </w:tc>
        <w:tc>
          <w:tcPr>
            <w:tcW w:type="dxa" w:w="2200"/>
            <w:shd w:fill="eef2f6" w:color="auto" w:val="clear"/>
            <w:tcMar>
              <w:top w:type="dxa" w:w="40"/>
              <w:left w:type="dxa" w:w="80"/>
              <w:bottom w:type="dxa" w:w="40"/>
              <w:right w:type="dxa" w:w="80"/>
            </w:tcMar>
          </w:tcPr>
          <w:p>
            <w:pPr>
              <w:jc w:val="center"/>
            </w:pPr>
            <w:r>
              <w:rPr>
                <w:b w:val="false"/>
                <w:bCs w:val="false"/>
                <w:sz w:val="18"/>
                <w:szCs w:val="18"/>
              </w:rPr>
              <w:t xml:space="preserve">90 (33.5)</w:t>
            </w:r>
          </w:p>
        </w:tc>
        <w:tc>
          <w:tcPr>
            <w:tcW w:type="dxa" w:w="2400"/>
            <w:shd w:fill="eef2f6" w:color="auto" w:val="clear"/>
            <w:tcMar>
              <w:top w:type="dxa" w:w="40"/>
              <w:left w:type="dxa" w:w="80"/>
              <w:bottom w:type="dxa" w:w="40"/>
              <w:right w:type="dxa" w:w="80"/>
            </w:tcMar>
          </w:tcPr>
          <w:p>
            <w:pPr>
              <w:jc w:val="center"/>
            </w:pPr>
            <w:r>
              <w:rPr>
                <w:b w:val="false"/>
                <w:bCs w:val="false"/>
                <w:sz w:val="18"/>
                <w:szCs w:val="18"/>
              </w:rPr>
              <w:t xml:space="preserve">1134 (49.9)</w:t>
            </w:r>
          </w:p>
        </w:tc>
        <w:tc>
          <w:tcPr>
            <w:tcW w:type="dxa" w:w="900"/>
            <w:shd w:fill="eef2f6" w:color="auto" w:val="clear"/>
            <w:tcMar>
              <w:top w:type="dxa" w:w="40"/>
              <w:left w:type="dxa" w:w="80"/>
              <w:bottom w:type="dxa" w:w="40"/>
              <w:right w:type="dxa" w:w="80"/>
            </w:tcMar>
          </w:tcPr>
          <w:p>
            <w:pPr>
              <w:jc w:val="center"/>
            </w:pPr>
            <w:r>
              <w:rPr>
                <w:b w:val="false"/>
                <w:bCs w:val="false"/>
                <w:sz w:val="18"/>
                <w:szCs w:val="18"/>
              </w:rPr>
              <w:t xml:space="preserve">−0.339</w:t>
            </w:r>
          </w:p>
        </w:tc>
        <w:tc>
          <w:tcPr>
            <w:tcW w:type="dxa" w:w="900"/>
            <w:shd w:fill="eef2f6" w:color="auto" w:val="clear"/>
            <w:tcMar>
              <w:top w:type="dxa" w:w="40"/>
              <w:left w:type="dxa" w:w="80"/>
              <w:bottom w:type="dxa" w:w="40"/>
              <w:right w:type="dxa" w:w="80"/>
            </w:tcMar>
          </w:tcPr>
          <w:p>
            <w:pPr>
              <w:jc w:val="center"/>
            </w:pPr>
            <w:r>
              <w:rPr>
                <w:b w:val="false"/>
                <w:bCs w:val="false"/>
                <w:sz w:val="18"/>
                <w:szCs w:val="18"/>
              </w:rPr>
              <w:t xml:space="preserve">0</w:t>
            </w:r>
          </w:p>
        </w:tc>
      </w:tr>
      <w:tr>
        <w:tc>
          <w:tcPr>
            <w:tcW w:type="dxa" w:w="3060"/>
            <w:tcMar>
              <w:top w:type="dxa" w:w="40"/>
              <w:left w:type="dxa" w:w="80"/>
              <w:bottom w:type="dxa" w:w="40"/>
              <w:right w:type="dxa" w:w="80"/>
            </w:tcMar>
          </w:tcPr>
          <w:p>
            <w:pPr>
              <w:jc w:val="left"/>
            </w:pPr>
            <w:r>
              <w:rPr>
                <w:b w:val="false"/>
                <w:bCs w:val="false"/>
                <w:sz w:val="18"/>
                <w:szCs w:val="18"/>
              </w:rPr>
              <w:t xml:space="preserve">LOS days, median [IQR]</w:t>
            </w:r>
          </w:p>
        </w:tc>
        <w:tc>
          <w:tcPr>
            <w:tcW w:type="dxa" w:w="2200"/>
            <w:tcMar>
              <w:top w:type="dxa" w:w="40"/>
              <w:left w:type="dxa" w:w="80"/>
              <w:bottom w:type="dxa" w:w="40"/>
              <w:right w:type="dxa" w:w="80"/>
            </w:tcMar>
          </w:tcPr>
          <w:p>
            <w:pPr>
              <w:jc w:val="center"/>
            </w:pPr>
            <w:r>
              <w:rPr>
                <w:b w:val="false"/>
                <w:bCs w:val="false"/>
                <w:sz w:val="18"/>
                <w:szCs w:val="18"/>
              </w:rPr>
              <w:t xml:space="preserve">12.0 [10.0–17.0]</w:t>
            </w:r>
          </w:p>
        </w:tc>
        <w:tc>
          <w:tcPr>
            <w:tcW w:type="dxa" w:w="2400"/>
            <w:tcMar>
              <w:top w:type="dxa" w:w="40"/>
              <w:left w:type="dxa" w:w="80"/>
              <w:bottom w:type="dxa" w:w="40"/>
              <w:right w:type="dxa" w:w="80"/>
            </w:tcMar>
          </w:tcPr>
          <w:p>
            <w:pPr>
              <w:jc w:val="center"/>
            </w:pPr>
            <w:r>
              <w:rPr>
                <w:b w:val="false"/>
                <w:bCs w:val="false"/>
                <w:sz w:val="18"/>
                <w:szCs w:val="18"/>
              </w:rPr>
              <w:t xml:space="preserve">11.0 [10.0–17.0]</w:t>
            </w:r>
          </w:p>
        </w:tc>
        <w:tc>
          <w:tcPr>
            <w:tcW w:type="dxa" w:w="900"/>
            <w:tcMar>
              <w:top w:type="dxa" w:w="40"/>
              <w:left w:type="dxa" w:w="80"/>
              <w:bottom w:type="dxa" w:w="40"/>
              <w:right w:type="dxa" w:w="80"/>
            </w:tcMar>
          </w:tcPr>
          <w:p>
            <w:pPr>
              <w:jc w:val="center"/>
            </w:pPr>
            <w:r>
              <w:rPr>
                <w:b w:val="false"/>
                <w:bCs w:val="false"/>
                <w:sz w:val="18"/>
                <w:szCs w:val="18"/>
              </w:rPr>
              <w:t xml:space="preserve">0.170</w:t>
            </w:r>
          </w:p>
        </w:tc>
        <w:tc>
          <w:tcPr>
            <w:tcW w:type="dxa" w:w="900"/>
            <w:tcMar>
              <w:top w:type="dxa" w:w="40"/>
              <w:left w:type="dxa" w:w="80"/>
              <w:bottom w:type="dxa" w:w="40"/>
              <w:right w:type="dxa" w:w="80"/>
            </w:tcMar>
          </w:tcPr>
          <w:p>
            <w:pPr>
              <w:jc w:val="center"/>
            </w:pPr>
            <w:r>
              <w:rPr>
                <w:b w:val="false"/>
                <w:bCs w:val="false"/>
                <w:sz w:val="18"/>
                <w:szCs w:val="18"/>
              </w:rPr>
              <w:t xml:space="preserve">0</w:t>
            </w:r>
          </w:p>
        </w:tc>
      </w:tr>
      <w:tr>
        <w:tc>
          <w:tcPr>
            <w:tcW w:type="dxa" w:w="3060"/>
            <w:shd w:fill="eef2f6" w:color="auto" w:val="clear"/>
            <w:tcMar>
              <w:top w:type="dxa" w:w="40"/>
              <w:left w:type="dxa" w:w="80"/>
              <w:bottom w:type="dxa" w:w="40"/>
              <w:right w:type="dxa" w:w="80"/>
            </w:tcMar>
          </w:tcPr>
          <w:p>
            <w:pPr>
              <w:jc w:val="left"/>
            </w:pPr>
            <w:r>
              <w:rPr>
                <w:b w:val="false"/>
                <w:bCs w:val="false"/>
                <w:sz w:val="18"/>
                <w:szCs w:val="18"/>
              </w:rPr>
              <w:t xml:space="preserve">ICU admission, n (%)</w:t>
            </w:r>
          </w:p>
        </w:tc>
        <w:tc>
          <w:tcPr>
            <w:tcW w:type="dxa" w:w="2200"/>
            <w:shd w:fill="eef2f6" w:color="auto" w:val="clear"/>
            <w:tcMar>
              <w:top w:type="dxa" w:w="40"/>
              <w:left w:type="dxa" w:w="80"/>
              <w:bottom w:type="dxa" w:w="40"/>
              <w:right w:type="dxa" w:w="80"/>
            </w:tcMar>
          </w:tcPr>
          <w:p>
            <w:pPr>
              <w:jc w:val="center"/>
            </w:pPr>
            <w:r>
              <w:rPr>
                <w:b w:val="false"/>
                <w:bCs w:val="false"/>
                <w:sz w:val="18"/>
                <w:szCs w:val="18"/>
              </w:rPr>
              <w:t xml:space="preserve">41 (15.2)</w:t>
            </w:r>
          </w:p>
        </w:tc>
        <w:tc>
          <w:tcPr>
            <w:tcW w:type="dxa" w:w="2400"/>
            <w:shd w:fill="eef2f6" w:color="auto" w:val="clear"/>
            <w:tcMar>
              <w:top w:type="dxa" w:w="40"/>
              <w:left w:type="dxa" w:w="80"/>
              <w:bottom w:type="dxa" w:w="40"/>
              <w:right w:type="dxa" w:w="80"/>
            </w:tcMar>
          </w:tcPr>
          <w:p>
            <w:pPr>
              <w:jc w:val="center"/>
            </w:pPr>
            <w:r>
              <w:rPr>
                <w:b w:val="false"/>
                <w:bCs w:val="false"/>
                <w:sz w:val="18"/>
                <w:szCs w:val="18"/>
              </w:rPr>
              <w:t xml:space="preserve">113 (5.0)</w:t>
            </w:r>
          </w:p>
        </w:tc>
        <w:tc>
          <w:tcPr>
            <w:tcW w:type="dxa" w:w="900"/>
            <w:shd w:fill="eef2f6" w:color="auto" w:val="clear"/>
            <w:tcMar>
              <w:top w:type="dxa" w:w="40"/>
              <w:left w:type="dxa" w:w="80"/>
              <w:bottom w:type="dxa" w:w="40"/>
              <w:right w:type="dxa" w:w="80"/>
            </w:tcMar>
          </w:tcPr>
          <w:p>
            <w:pPr>
              <w:jc w:val="center"/>
            </w:pPr>
            <w:r>
              <w:rPr>
                <w:b w:val="false"/>
                <w:bCs w:val="false"/>
                <w:sz w:val="18"/>
                <w:szCs w:val="18"/>
              </w:rPr>
              <w:t xml:space="preserve">0.346</w:t>
            </w:r>
          </w:p>
        </w:tc>
        <w:tc>
          <w:tcPr>
            <w:tcW w:type="dxa" w:w="900"/>
            <w:shd w:fill="eef2f6" w:color="auto" w:val="clear"/>
            <w:tcMar>
              <w:top w:type="dxa" w:w="40"/>
              <w:left w:type="dxa" w:w="80"/>
              <w:bottom w:type="dxa" w:w="40"/>
              <w:right w:type="dxa" w:w="80"/>
            </w:tcMar>
          </w:tcPr>
          <w:p>
            <w:pPr>
              <w:jc w:val="center"/>
            </w:pPr>
            <w:r>
              <w:rPr>
                <w:b w:val="false"/>
                <w:bCs w:val="false"/>
                <w:sz w:val="18"/>
                <w:szCs w:val="18"/>
              </w:rPr>
              <w:t xml:space="preserve">0</w:t>
            </w:r>
          </w:p>
        </w:tc>
      </w:tr>
    </w:tbl>
    <w:p>
      <w:pPr>
        <w:spacing w:after="200" w:before="60"/>
      </w:pPr>
      <w:r>
        <w:rPr>
          <w:i/>
          <w:iCs/>
          <w:color w:val="555555"/>
          <w:sz w:val="17"/>
          <w:szCs w:val="17"/>
        </w:rPr>
        <w:t xml:space="preserve">Table 1. Baseline characteristics by anesthesia type. Values are mean (SD) or n (%); LOS as median [IQR]. LOS was recorded at whole-day resolution, so interquartile ranges coincide between groups while medians differ. All patients were of Asian ethnicity (single-center cohort). SMD, standardized mean difference.</w:t>
      </w:r>
    </w:p>
    <w:p>
      <w:pPr>
        <w:pStyle w:val="Heading2"/>
        <w:spacing w:after="100" w:before="200"/>
      </w:pPr>
      <w:r>
        <w:rPr>
          <w:b/>
          <w:bCs/>
          <w:color w:val="1f3a5f"/>
        </w:rPr>
        <w:t xml:space="preserve">3.2 Length of stay</w:t>
      </w:r>
    </w:p>
    <w:p>
      <w:pPr>
        <w:spacing w:after="150"/>
        <w:jc w:val="both"/>
      </w:pPr>
      <w:r>
        <w:rPr>
          <w:sz w:val="22"/>
          <w:szCs w:val="22"/>
        </w:rPr>
        <w:t xml:space="preserve">Median length of stay was 12.0 days (general) versus 11.0 days (neuraxial). In the adjusted Gamma model, neuraxial anesthesia was associated with a ratio of mean LOS of 0.892 (95% CI 0.840–0.947; p&lt;0.001), an approximately 11% shorter stay (Table 2, Figure 1A). The Gamma model showed no over-dispersion (Pearson dispersion 0.22) and results were consistent under a log-normal specification.</w:t>
      </w:r>
    </w:p>
    <w:p>
      <w:pPr>
        <w:pStyle w:val="Heading2"/>
        <w:spacing w:after="100" w:before="200"/>
      </w:pPr>
      <w:r>
        <w:rPr>
          <w:b/>
          <w:bCs/>
          <w:color w:val="1f3a5f"/>
        </w:rPr>
        <w:t xml:space="preserve">3.3 ICU admission</w:t>
      </w:r>
    </w:p>
    <w:p>
      <w:pPr>
        <w:spacing w:after="150"/>
        <w:jc w:val="both"/>
      </w:pPr>
      <w:r>
        <w:rPr>
          <w:sz w:val="22"/>
          <w:szCs w:val="22"/>
        </w:rPr>
        <w:t xml:space="preserve">Postoperative ICU admission occurred in 15.2% (general) versus 5.0% (neuraxial). Neuraxial anesthesia was associated with lower odds of ICU admission (OR 0.494, 95% CI 0.324–0.753; p=0.001; Table 2, Figure 1B), with acceptable model discrimination (c-statistic 0.780).</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360"/>
        <w:gridCol w:w="2600"/>
        <w:gridCol w:w="700"/>
        <w:gridCol w:w="2600"/>
        <w:gridCol w:w="700"/>
      </w:tblGrid>
      <w:tr>
        <w:trPr>
          <w:tblHeader/>
        </w:trPr>
        <w:tc>
          <w:tcPr>
            <w:tcW w:type="dxa" w:w="2360"/>
            <w:shd w:fill="1f3a5f" w:color="auto" w:val="clear"/>
            <w:tcMar>
              <w:top w:type="dxa" w:w="40"/>
              <w:left w:type="dxa" w:w="80"/>
              <w:bottom w:type="dxa" w:w="40"/>
              <w:right w:type="dxa" w:w="80"/>
            </w:tcMar>
          </w:tcPr>
          <w:p>
            <w:pPr>
              <w:jc w:val="left"/>
            </w:pPr>
            <w:r>
              <w:rPr>
                <w:b/>
                <w:bCs/>
                <w:sz w:val="18"/>
                <w:szCs w:val="18"/>
              </w:rPr>
              <w:t xml:space="preserve">Variable</w:t>
            </w:r>
          </w:p>
        </w:tc>
        <w:tc>
          <w:tcPr>
            <w:tcW w:type="dxa" w:w="2600"/>
            <w:shd w:fill="1f3a5f" w:color="auto" w:val="clear"/>
            <w:tcMar>
              <w:top w:type="dxa" w:w="40"/>
              <w:left w:type="dxa" w:w="80"/>
              <w:bottom w:type="dxa" w:w="40"/>
              <w:right w:type="dxa" w:w="80"/>
            </w:tcMar>
          </w:tcPr>
          <w:p>
            <w:pPr>
              <w:jc w:val="center"/>
            </w:pPr>
            <w:r>
              <w:rPr>
                <w:b/>
                <w:bCs/>
                <w:sz w:val="18"/>
                <w:szCs w:val="18"/>
              </w:rPr>
              <w:t xml:space="preserve">LOS ratio (95% CI)</w:t>
            </w:r>
          </w:p>
        </w:tc>
        <w:tc>
          <w:tcPr>
            <w:tcW w:type="dxa" w:w="700"/>
            <w:shd w:fill="1f3a5f" w:color="auto" w:val="clear"/>
            <w:tcMar>
              <w:top w:type="dxa" w:w="40"/>
              <w:left w:type="dxa" w:w="80"/>
              <w:bottom w:type="dxa" w:w="40"/>
              <w:right w:type="dxa" w:w="80"/>
            </w:tcMar>
          </w:tcPr>
          <w:p>
            <w:pPr>
              <w:jc w:val="center"/>
            </w:pPr>
            <w:r>
              <w:rPr>
                <w:b/>
                <w:bCs/>
                <w:sz w:val="18"/>
                <w:szCs w:val="18"/>
              </w:rPr>
              <w:t xml:space="preserve">p</w:t>
            </w:r>
          </w:p>
        </w:tc>
        <w:tc>
          <w:tcPr>
            <w:tcW w:type="dxa" w:w="2600"/>
            <w:shd w:fill="1f3a5f" w:color="auto" w:val="clear"/>
            <w:tcMar>
              <w:top w:type="dxa" w:w="40"/>
              <w:left w:type="dxa" w:w="80"/>
              <w:bottom w:type="dxa" w:w="40"/>
              <w:right w:type="dxa" w:w="80"/>
            </w:tcMar>
          </w:tcPr>
          <w:p>
            <w:pPr>
              <w:jc w:val="center"/>
            </w:pPr>
            <w:r>
              <w:rPr>
                <w:b/>
                <w:bCs/>
                <w:sz w:val="18"/>
                <w:szCs w:val="18"/>
              </w:rPr>
              <w:t xml:space="preserve">ICU OR (95% CI)</w:t>
            </w:r>
          </w:p>
        </w:tc>
        <w:tc>
          <w:tcPr>
            <w:tcW w:type="dxa" w:w="700"/>
            <w:shd w:fill="1f3a5f" w:color="auto" w:val="clear"/>
            <w:tcMar>
              <w:top w:type="dxa" w:w="40"/>
              <w:left w:type="dxa" w:w="80"/>
              <w:bottom w:type="dxa" w:w="40"/>
              <w:right w:type="dxa" w:w="80"/>
            </w:tcMar>
          </w:tcPr>
          <w:p>
            <w:pPr>
              <w:jc w:val="center"/>
            </w:pPr>
            <w:r>
              <w:rPr>
                <w:b/>
                <w:bCs/>
                <w:sz w:val="18"/>
                <w:szCs w:val="18"/>
              </w:rPr>
              <w:t xml:space="preserve">p</w:t>
            </w:r>
          </w:p>
        </w:tc>
      </w:tr>
      <w:tr>
        <w:tc>
          <w:tcPr>
            <w:tcW w:type="dxa" w:w="2360"/>
            <w:tcMar>
              <w:top w:type="dxa" w:w="40"/>
              <w:left w:type="dxa" w:w="80"/>
              <w:bottom w:type="dxa" w:w="40"/>
              <w:right w:type="dxa" w:w="80"/>
            </w:tcMar>
          </w:tcPr>
          <w:p>
            <w:pPr>
              <w:jc w:val="left"/>
            </w:pPr>
            <w:r>
              <w:rPr>
                <w:b w:val="false"/>
                <w:bCs w:val="false"/>
                <w:sz w:val="18"/>
                <w:szCs w:val="18"/>
              </w:rPr>
              <w:t xml:space="preserve">Neuraxial (vs general)</w:t>
            </w:r>
          </w:p>
        </w:tc>
        <w:tc>
          <w:tcPr>
            <w:tcW w:type="dxa" w:w="2600"/>
            <w:tcMar>
              <w:top w:type="dxa" w:w="40"/>
              <w:left w:type="dxa" w:w="80"/>
              <w:bottom w:type="dxa" w:w="40"/>
              <w:right w:type="dxa" w:w="80"/>
            </w:tcMar>
          </w:tcPr>
          <w:p>
            <w:pPr>
              <w:jc w:val="center"/>
            </w:pPr>
            <w:r>
              <w:rPr>
                <w:b w:val="false"/>
                <w:bCs w:val="false"/>
                <w:sz w:val="18"/>
                <w:szCs w:val="18"/>
              </w:rPr>
              <w:t xml:space="preserve">0.892 (0.840–0.947)</w:t>
            </w:r>
          </w:p>
        </w:tc>
        <w:tc>
          <w:tcPr>
            <w:tcW w:type="dxa" w:w="700"/>
            <w:tcMar>
              <w:top w:type="dxa" w:w="40"/>
              <w:left w:type="dxa" w:w="80"/>
              <w:bottom w:type="dxa" w:w="40"/>
              <w:right w:type="dxa" w:w="80"/>
            </w:tcMar>
          </w:tcPr>
          <w:p>
            <w:pPr>
              <w:jc w:val="center"/>
            </w:pPr>
            <w:r>
              <w:rPr>
                <w:b w:val="false"/>
                <w:bCs w:val="false"/>
                <w:sz w:val="18"/>
                <w:szCs w:val="18"/>
              </w:rPr>
              <w:t xml:space="preserve">&lt;0.001</w:t>
            </w:r>
          </w:p>
        </w:tc>
        <w:tc>
          <w:tcPr>
            <w:tcW w:type="dxa" w:w="2600"/>
            <w:tcMar>
              <w:top w:type="dxa" w:w="40"/>
              <w:left w:type="dxa" w:w="80"/>
              <w:bottom w:type="dxa" w:w="40"/>
              <w:right w:type="dxa" w:w="80"/>
            </w:tcMar>
          </w:tcPr>
          <w:p>
            <w:pPr>
              <w:jc w:val="center"/>
            </w:pPr>
            <w:r>
              <w:rPr>
                <w:b w:val="false"/>
                <w:bCs w:val="false"/>
                <w:sz w:val="18"/>
                <w:szCs w:val="18"/>
              </w:rPr>
              <w:t xml:space="preserve">0.494 (0.324–0.753)</w:t>
            </w:r>
          </w:p>
        </w:tc>
        <w:tc>
          <w:tcPr>
            <w:tcW w:type="dxa" w:w="700"/>
            <w:tcMar>
              <w:top w:type="dxa" w:w="40"/>
              <w:left w:type="dxa" w:w="80"/>
              <w:bottom w:type="dxa" w:w="40"/>
              <w:right w:type="dxa" w:w="80"/>
            </w:tcMar>
          </w:tcPr>
          <w:p>
            <w:pPr>
              <w:jc w:val="center"/>
            </w:pPr>
            <w:r>
              <w:rPr>
                <w:b w:val="false"/>
                <w:bCs w:val="false"/>
                <w:sz w:val="18"/>
                <w:szCs w:val="18"/>
              </w:rPr>
              <w:t xml:space="preserve">0.001</w:t>
            </w:r>
          </w:p>
        </w:tc>
      </w:tr>
      <w:tr>
        <w:tc>
          <w:tcPr>
            <w:tcW w:type="dxa" w:w="2360"/>
            <w:shd w:fill="eef2f6" w:color="auto" w:val="clear"/>
            <w:tcMar>
              <w:top w:type="dxa" w:w="40"/>
              <w:left w:type="dxa" w:w="80"/>
              <w:bottom w:type="dxa" w:w="40"/>
              <w:right w:type="dxa" w:w="80"/>
            </w:tcMar>
          </w:tcPr>
          <w:p>
            <w:pPr>
              <w:jc w:val="left"/>
            </w:pPr>
            <w:r>
              <w:rPr>
                <w:b w:val="false"/>
                <w:bCs w:val="false"/>
                <w:sz w:val="18"/>
                <w:szCs w:val="18"/>
              </w:rPr>
              <w:t xml:space="preserve">ASA 3+</w:t>
            </w:r>
          </w:p>
        </w:tc>
        <w:tc>
          <w:tcPr>
            <w:tcW w:type="dxa" w:w="2600"/>
            <w:shd w:fill="eef2f6" w:color="auto" w:val="clear"/>
            <w:tcMar>
              <w:top w:type="dxa" w:w="40"/>
              <w:left w:type="dxa" w:w="80"/>
              <w:bottom w:type="dxa" w:w="40"/>
              <w:right w:type="dxa" w:w="80"/>
            </w:tcMar>
          </w:tcPr>
          <w:p>
            <w:pPr>
              <w:jc w:val="center"/>
            </w:pPr>
            <w:r>
              <w:rPr>
                <w:b w:val="false"/>
                <w:bCs w:val="false"/>
                <w:sz w:val="18"/>
                <w:szCs w:val="18"/>
              </w:rPr>
              <w:t xml:space="preserve">1.231 (1.156–1.310)</w:t>
            </w:r>
          </w:p>
        </w:tc>
        <w:tc>
          <w:tcPr>
            <w:tcW w:type="dxa" w:w="700"/>
            <w:shd w:fill="eef2f6" w:color="auto" w:val="clear"/>
            <w:tcMar>
              <w:top w:type="dxa" w:w="40"/>
              <w:left w:type="dxa" w:w="80"/>
              <w:bottom w:type="dxa" w:w="40"/>
              <w:right w:type="dxa" w:w="80"/>
            </w:tcMar>
          </w:tcPr>
          <w:p>
            <w:pPr>
              <w:jc w:val="center"/>
            </w:pPr>
            <w:r>
              <w:rPr>
                <w:b w:val="false"/>
                <w:bCs w:val="false"/>
                <w:sz w:val="18"/>
                <w:szCs w:val="18"/>
              </w:rPr>
              <w:t xml:space="preserve">&lt;0.001</w:t>
            </w:r>
          </w:p>
        </w:tc>
        <w:tc>
          <w:tcPr>
            <w:tcW w:type="dxa" w:w="2600"/>
            <w:shd w:fill="eef2f6" w:color="auto" w:val="clear"/>
            <w:tcMar>
              <w:top w:type="dxa" w:w="40"/>
              <w:left w:type="dxa" w:w="80"/>
              <w:bottom w:type="dxa" w:w="40"/>
              <w:right w:type="dxa" w:w="80"/>
            </w:tcMar>
          </w:tcPr>
          <w:p>
            <w:pPr>
              <w:jc w:val="center"/>
            </w:pPr>
            <w:r>
              <w:rPr>
                <w:b w:val="false"/>
                <w:bCs w:val="false"/>
                <w:sz w:val="18"/>
                <w:szCs w:val="18"/>
              </w:rPr>
              <w:t xml:space="preserve">5.289 (3.613–7.743)</w:t>
            </w:r>
          </w:p>
        </w:tc>
        <w:tc>
          <w:tcPr>
            <w:tcW w:type="dxa" w:w="700"/>
            <w:shd w:fill="eef2f6" w:color="auto" w:val="clear"/>
            <w:tcMar>
              <w:top w:type="dxa" w:w="40"/>
              <w:left w:type="dxa" w:w="80"/>
              <w:bottom w:type="dxa" w:w="40"/>
              <w:right w:type="dxa" w:w="80"/>
            </w:tcMar>
          </w:tcPr>
          <w:p>
            <w:pPr>
              <w:jc w:val="center"/>
            </w:pPr>
            <w:r>
              <w:rPr>
                <w:b w:val="false"/>
                <w:bCs w:val="false"/>
                <w:sz w:val="18"/>
                <w:szCs w:val="18"/>
              </w:rPr>
              <w:t xml:space="preserve">&lt;0.001</w:t>
            </w:r>
          </w:p>
        </w:tc>
      </w:tr>
      <w:tr>
        <w:tc>
          <w:tcPr>
            <w:tcW w:type="dxa" w:w="2360"/>
            <w:tcMar>
              <w:top w:type="dxa" w:w="40"/>
              <w:left w:type="dxa" w:w="80"/>
              <w:bottom w:type="dxa" w:w="40"/>
              <w:right w:type="dxa" w:w="80"/>
            </w:tcMar>
          </w:tcPr>
          <w:p>
            <w:pPr>
              <w:jc w:val="left"/>
            </w:pPr>
            <w:r>
              <w:rPr>
                <w:b w:val="false"/>
                <w:bCs w:val="false"/>
                <w:sz w:val="18"/>
                <w:szCs w:val="18"/>
              </w:rPr>
              <w:t xml:space="preserve">Knee (vs hip)</w:t>
            </w:r>
          </w:p>
        </w:tc>
        <w:tc>
          <w:tcPr>
            <w:tcW w:type="dxa" w:w="2600"/>
            <w:tcMar>
              <w:top w:type="dxa" w:w="40"/>
              <w:left w:type="dxa" w:w="80"/>
              <w:bottom w:type="dxa" w:w="40"/>
              <w:right w:type="dxa" w:w="80"/>
            </w:tcMar>
          </w:tcPr>
          <w:p>
            <w:pPr>
              <w:jc w:val="center"/>
            </w:pPr>
            <w:r>
              <w:rPr>
                <w:b w:val="false"/>
                <w:bCs w:val="false"/>
                <w:sz w:val="18"/>
                <w:szCs w:val="18"/>
              </w:rPr>
              <w:t xml:space="preserve">1.304 (1.250–1.360)</w:t>
            </w:r>
          </w:p>
        </w:tc>
        <w:tc>
          <w:tcPr>
            <w:tcW w:type="dxa" w:w="700"/>
            <w:tcMar>
              <w:top w:type="dxa" w:w="40"/>
              <w:left w:type="dxa" w:w="80"/>
              <w:bottom w:type="dxa" w:w="40"/>
              <w:right w:type="dxa" w:w="80"/>
            </w:tcMar>
          </w:tcPr>
          <w:p>
            <w:pPr>
              <w:jc w:val="center"/>
            </w:pPr>
            <w:r>
              <w:rPr>
                <w:b w:val="false"/>
                <w:bCs w:val="false"/>
                <w:sz w:val="18"/>
                <w:szCs w:val="18"/>
              </w:rPr>
              <w:t xml:space="preserve">&lt;0.001</w:t>
            </w:r>
          </w:p>
        </w:tc>
        <w:tc>
          <w:tcPr>
            <w:tcW w:type="dxa" w:w="2600"/>
            <w:tcMar>
              <w:top w:type="dxa" w:w="40"/>
              <w:left w:type="dxa" w:w="80"/>
              <w:bottom w:type="dxa" w:w="40"/>
              <w:right w:type="dxa" w:w="80"/>
            </w:tcMar>
          </w:tcPr>
          <w:p>
            <w:pPr>
              <w:jc w:val="center"/>
            </w:pPr>
            <w:r>
              <w:rPr>
                <w:b w:val="false"/>
                <w:bCs w:val="false"/>
                <w:sz w:val="18"/>
                <w:szCs w:val="18"/>
              </w:rPr>
              <w:t xml:space="preserve">0.327 (0.215–0.498)</w:t>
            </w:r>
          </w:p>
        </w:tc>
        <w:tc>
          <w:tcPr>
            <w:tcW w:type="dxa" w:w="700"/>
            <w:tcMar>
              <w:top w:type="dxa" w:w="40"/>
              <w:left w:type="dxa" w:w="80"/>
              <w:bottom w:type="dxa" w:w="40"/>
              <w:right w:type="dxa" w:w="80"/>
            </w:tcMar>
          </w:tcPr>
          <w:p>
            <w:pPr>
              <w:jc w:val="center"/>
            </w:pPr>
            <w:r>
              <w:rPr>
                <w:b w:val="false"/>
                <w:bCs w:val="false"/>
                <w:sz w:val="18"/>
                <w:szCs w:val="18"/>
              </w:rPr>
              <w:t xml:space="preserve">&lt;0.001</w:t>
            </w:r>
          </w:p>
        </w:tc>
      </w:tr>
      <w:tr>
        <w:tc>
          <w:tcPr>
            <w:tcW w:type="dxa" w:w="2360"/>
            <w:shd w:fill="eef2f6" w:color="auto" w:val="clear"/>
            <w:tcMar>
              <w:top w:type="dxa" w:w="40"/>
              <w:left w:type="dxa" w:w="80"/>
              <w:bottom w:type="dxa" w:w="40"/>
              <w:right w:type="dxa" w:w="80"/>
            </w:tcMar>
          </w:tcPr>
          <w:p>
            <w:pPr>
              <w:jc w:val="left"/>
            </w:pPr>
            <w:r>
              <w:rPr>
                <w:b w:val="false"/>
                <w:bCs w:val="false"/>
                <w:sz w:val="18"/>
                <w:szCs w:val="18"/>
              </w:rPr>
              <w:t xml:space="preserve">Age (per year)</w:t>
            </w:r>
          </w:p>
        </w:tc>
        <w:tc>
          <w:tcPr>
            <w:tcW w:type="dxa" w:w="2600"/>
            <w:shd w:fill="eef2f6" w:color="auto" w:val="clear"/>
            <w:tcMar>
              <w:top w:type="dxa" w:w="40"/>
              <w:left w:type="dxa" w:w="80"/>
              <w:bottom w:type="dxa" w:w="40"/>
              <w:right w:type="dxa" w:w="80"/>
            </w:tcMar>
          </w:tcPr>
          <w:p>
            <w:pPr>
              <w:jc w:val="center"/>
            </w:pPr>
            <w:r>
              <w:rPr>
                <w:b w:val="false"/>
                <w:bCs w:val="false"/>
                <w:sz w:val="18"/>
                <w:szCs w:val="18"/>
              </w:rPr>
              <w:t xml:space="preserve">1.000 (0.998–1.001)</w:t>
            </w:r>
          </w:p>
        </w:tc>
        <w:tc>
          <w:tcPr>
            <w:tcW w:type="dxa" w:w="700"/>
            <w:shd w:fill="eef2f6" w:color="auto" w:val="clear"/>
            <w:tcMar>
              <w:top w:type="dxa" w:w="40"/>
              <w:left w:type="dxa" w:w="80"/>
              <w:bottom w:type="dxa" w:w="40"/>
              <w:right w:type="dxa" w:w="80"/>
            </w:tcMar>
          </w:tcPr>
          <w:p>
            <w:pPr>
              <w:jc w:val="center"/>
            </w:pPr>
            <w:r>
              <w:rPr>
                <w:b w:val="false"/>
                <w:bCs w:val="false"/>
                <w:sz w:val="18"/>
                <w:szCs w:val="18"/>
              </w:rPr>
              <w:t xml:space="preserve">0.739</w:t>
            </w:r>
          </w:p>
        </w:tc>
        <w:tc>
          <w:tcPr>
            <w:tcW w:type="dxa" w:w="2600"/>
            <w:shd w:fill="eef2f6" w:color="auto" w:val="clear"/>
            <w:tcMar>
              <w:top w:type="dxa" w:w="40"/>
              <w:left w:type="dxa" w:w="80"/>
              <w:bottom w:type="dxa" w:w="40"/>
              <w:right w:type="dxa" w:w="80"/>
            </w:tcMar>
          </w:tcPr>
          <w:p>
            <w:pPr>
              <w:jc w:val="center"/>
            </w:pPr>
            <w:r>
              <w:rPr>
                <w:b w:val="false"/>
                <w:bCs w:val="false"/>
                <w:sz w:val="18"/>
                <w:szCs w:val="18"/>
              </w:rPr>
              <w:t xml:space="preserve">1.028 (1.013–1.045)</w:t>
            </w:r>
          </w:p>
        </w:tc>
        <w:tc>
          <w:tcPr>
            <w:tcW w:type="dxa" w:w="700"/>
            <w:shd w:fill="eef2f6" w:color="auto" w:val="clear"/>
            <w:tcMar>
              <w:top w:type="dxa" w:w="40"/>
              <w:left w:type="dxa" w:w="80"/>
              <w:bottom w:type="dxa" w:w="40"/>
              <w:right w:type="dxa" w:w="80"/>
            </w:tcMar>
          </w:tcPr>
          <w:p>
            <w:pPr>
              <w:jc w:val="center"/>
            </w:pPr>
            <w:r>
              <w:rPr>
                <w:b w:val="false"/>
                <w:bCs w:val="false"/>
                <w:sz w:val="18"/>
                <w:szCs w:val="18"/>
              </w:rPr>
              <w:t xml:space="preserve">&lt;0.001</w:t>
            </w:r>
          </w:p>
        </w:tc>
      </w:tr>
      <w:tr>
        <w:tc>
          <w:tcPr>
            <w:tcW w:type="dxa" w:w="2360"/>
            <w:tcMar>
              <w:top w:type="dxa" w:w="40"/>
              <w:left w:type="dxa" w:w="80"/>
              <w:bottom w:type="dxa" w:w="40"/>
              <w:right w:type="dxa" w:w="80"/>
            </w:tcMar>
          </w:tcPr>
          <w:p>
            <w:pPr>
              <w:jc w:val="left"/>
            </w:pPr>
            <w:r>
              <w:rPr>
                <w:b w:val="false"/>
                <w:bCs w:val="false"/>
                <w:sz w:val="18"/>
                <w:szCs w:val="18"/>
              </w:rPr>
              <w:t xml:space="preserve">Female</w:t>
            </w:r>
          </w:p>
        </w:tc>
        <w:tc>
          <w:tcPr>
            <w:tcW w:type="dxa" w:w="2600"/>
            <w:tcMar>
              <w:top w:type="dxa" w:w="40"/>
              <w:left w:type="dxa" w:w="80"/>
              <w:bottom w:type="dxa" w:w="40"/>
              <w:right w:type="dxa" w:w="80"/>
            </w:tcMar>
          </w:tcPr>
          <w:p>
            <w:pPr>
              <w:jc w:val="center"/>
            </w:pPr>
            <w:r>
              <w:rPr>
                <w:b w:val="false"/>
                <w:bCs w:val="false"/>
                <w:sz w:val="18"/>
                <w:szCs w:val="18"/>
              </w:rPr>
              <w:t xml:space="preserve">1.055 (1.009–1.103)</w:t>
            </w:r>
          </w:p>
        </w:tc>
        <w:tc>
          <w:tcPr>
            <w:tcW w:type="dxa" w:w="700"/>
            <w:tcMar>
              <w:top w:type="dxa" w:w="40"/>
              <w:left w:type="dxa" w:w="80"/>
              <w:bottom w:type="dxa" w:w="40"/>
              <w:right w:type="dxa" w:w="80"/>
            </w:tcMar>
          </w:tcPr>
          <w:p>
            <w:pPr>
              <w:jc w:val="center"/>
            </w:pPr>
            <w:r>
              <w:rPr>
                <w:b w:val="false"/>
                <w:bCs w:val="false"/>
                <w:sz w:val="18"/>
                <w:szCs w:val="18"/>
              </w:rPr>
              <w:t xml:space="preserve">0.019</w:t>
            </w:r>
          </w:p>
        </w:tc>
        <w:tc>
          <w:tcPr>
            <w:tcW w:type="dxa" w:w="2600"/>
            <w:tcMar>
              <w:top w:type="dxa" w:w="40"/>
              <w:left w:type="dxa" w:w="80"/>
              <w:bottom w:type="dxa" w:w="40"/>
              <w:right w:type="dxa" w:w="80"/>
            </w:tcMar>
          </w:tcPr>
          <w:p>
            <w:pPr>
              <w:jc w:val="center"/>
            </w:pPr>
            <w:r>
              <w:rPr>
                <w:b w:val="false"/>
                <w:bCs w:val="false"/>
                <w:sz w:val="18"/>
                <w:szCs w:val="18"/>
              </w:rPr>
              <w:t xml:space="preserve">0.889 (0.605–1.306)</w:t>
            </w:r>
          </w:p>
        </w:tc>
        <w:tc>
          <w:tcPr>
            <w:tcW w:type="dxa" w:w="700"/>
            <w:tcMar>
              <w:top w:type="dxa" w:w="40"/>
              <w:left w:type="dxa" w:w="80"/>
              <w:bottom w:type="dxa" w:w="40"/>
              <w:right w:type="dxa" w:w="80"/>
            </w:tcMar>
          </w:tcPr>
          <w:p>
            <w:pPr>
              <w:jc w:val="center"/>
            </w:pPr>
            <w:r>
              <w:rPr>
                <w:b w:val="false"/>
                <w:bCs w:val="false"/>
                <w:sz w:val="18"/>
                <w:szCs w:val="18"/>
              </w:rPr>
              <w:t xml:space="preserve">0.548</w:t>
            </w:r>
          </w:p>
        </w:tc>
      </w:tr>
      <w:tr>
        <w:tc>
          <w:tcPr>
            <w:tcW w:type="dxa" w:w="2360"/>
            <w:shd w:fill="eef2f6" w:color="auto" w:val="clear"/>
            <w:tcMar>
              <w:top w:type="dxa" w:w="40"/>
              <w:left w:type="dxa" w:w="80"/>
              <w:bottom w:type="dxa" w:w="40"/>
              <w:right w:type="dxa" w:w="80"/>
            </w:tcMar>
          </w:tcPr>
          <w:p>
            <w:pPr>
              <w:jc w:val="left"/>
            </w:pPr>
            <w:r>
              <w:rPr>
                <w:b w:val="false"/>
                <w:bCs w:val="false"/>
                <w:sz w:val="18"/>
                <w:szCs w:val="18"/>
              </w:rPr>
              <w:t xml:space="preserve">Emergency</w:t>
            </w:r>
          </w:p>
        </w:tc>
        <w:tc>
          <w:tcPr>
            <w:tcW w:type="dxa" w:w="2600"/>
            <w:shd w:fill="eef2f6" w:color="auto" w:val="clear"/>
            <w:tcMar>
              <w:top w:type="dxa" w:w="40"/>
              <w:left w:type="dxa" w:w="80"/>
              <w:bottom w:type="dxa" w:w="40"/>
              <w:right w:type="dxa" w:w="80"/>
            </w:tcMar>
          </w:tcPr>
          <w:p>
            <w:pPr>
              <w:jc w:val="center"/>
            </w:pPr>
            <w:r>
              <w:rPr>
                <w:b w:val="false"/>
                <w:bCs w:val="false"/>
                <w:sz w:val="18"/>
                <w:szCs w:val="18"/>
              </w:rPr>
              <w:t xml:space="preserve">1.113 (1.003–1.235)</w:t>
            </w:r>
          </w:p>
        </w:tc>
        <w:tc>
          <w:tcPr>
            <w:tcW w:type="dxa" w:w="700"/>
            <w:shd w:fill="eef2f6" w:color="auto" w:val="clear"/>
            <w:tcMar>
              <w:top w:type="dxa" w:w="40"/>
              <w:left w:type="dxa" w:w="80"/>
              <w:bottom w:type="dxa" w:w="40"/>
              <w:right w:type="dxa" w:w="80"/>
            </w:tcMar>
          </w:tcPr>
          <w:p>
            <w:pPr>
              <w:jc w:val="center"/>
            </w:pPr>
            <w:r>
              <w:rPr>
                <w:b w:val="false"/>
                <w:bCs w:val="false"/>
                <w:sz w:val="18"/>
                <w:szCs w:val="18"/>
              </w:rPr>
              <w:t xml:space="preserve">0.045</w:t>
            </w:r>
          </w:p>
        </w:tc>
        <w:tc>
          <w:tcPr>
            <w:tcW w:type="dxa" w:w="2600"/>
            <w:shd w:fill="eef2f6" w:color="auto" w:val="clear"/>
            <w:tcMar>
              <w:top w:type="dxa" w:w="40"/>
              <w:left w:type="dxa" w:w="80"/>
              <w:bottom w:type="dxa" w:w="40"/>
              <w:right w:type="dxa" w:w="80"/>
            </w:tcMar>
          </w:tcPr>
          <w:p>
            <w:pPr>
              <w:jc w:val="center"/>
            </w:pPr>
            <w:r>
              <w:rPr>
                <w:b w:val="false"/>
                <w:bCs w:val="false"/>
                <w:sz w:val="18"/>
                <w:szCs w:val="18"/>
              </w:rPr>
              <w:t xml:space="preserve">1.200 (0.608–2.369)</w:t>
            </w:r>
          </w:p>
        </w:tc>
        <w:tc>
          <w:tcPr>
            <w:tcW w:type="dxa" w:w="700"/>
            <w:shd w:fill="eef2f6" w:color="auto" w:val="clear"/>
            <w:tcMar>
              <w:top w:type="dxa" w:w="40"/>
              <w:left w:type="dxa" w:w="80"/>
              <w:bottom w:type="dxa" w:w="40"/>
              <w:right w:type="dxa" w:w="80"/>
            </w:tcMar>
          </w:tcPr>
          <w:p>
            <w:pPr>
              <w:jc w:val="center"/>
            </w:pPr>
            <w:r>
              <w:rPr>
                <w:b w:val="false"/>
                <w:bCs w:val="false"/>
                <w:sz w:val="18"/>
                <w:szCs w:val="18"/>
              </w:rPr>
              <w:t xml:space="preserve">0.599</w:t>
            </w:r>
          </w:p>
        </w:tc>
      </w:tr>
    </w:tbl>
    <w:p>
      <w:pPr>
        <w:spacing w:after="200" w:before="60"/>
      </w:pPr>
      <w:r>
        <w:rPr>
          <w:i/>
          <w:iCs/>
          <w:color w:val="555555"/>
          <w:sz w:val="17"/>
          <w:szCs w:val="17"/>
        </w:rPr>
        <w:t xml:space="preserve">Table 2. Adjusted associations with recovery outcomes (arthroplasty cohort).</w:t>
      </w:r>
    </w:p>
    <w:p>
      <w:pPr>
        <w:pStyle w:val="Heading2"/>
        <w:spacing w:after="100" w:before="200"/>
      </w:pPr>
      <w:r>
        <w:rPr>
          <w:b/>
          <w:bCs/>
          <w:color w:val="1f3a5f"/>
        </w:rPr>
        <w:t xml:space="preserve">3.4 Sensitivity analyses</w:t>
      </w:r>
    </w:p>
    <w:p>
      <w:pPr>
        <w:spacing w:after="150"/>
        <w:jc w:val="both"/>
      </w:pPr>
      <w:r>
        <w:rPr>
          <w:sz w:val="22"/>
          <w:szCs w:val="22"/>
        </w:rPr>
        <w:t xml:space="preserve">After IPTW, all covariates were well balanced (absolute SMD &lt;0.10; Figure 2), and associations persisted (LOS ratio 0.90, 95% CI 0.847–0.955; ICU OR 0.44, 95% CI 0.277–0.697). In the broader all-orthopedic cohort (n=16,799), findings were consistent (Table 3), supporting robustness.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shd w:fill="1f3a5f" w:color="auto" w:val="clear"/>
            <w:tcMar>
              <w:top w:type="dxa" w:w="40"/>
              <w:left w:type="dxa" w:w="80"/>
              <w:bottom w:type="dxa" w:w="40"/>
              <w:right w:type="dxa" w:w="80"/>
            </w:tcMar>
          </w:tcPr>
          <w:p>
            <w:pPr>
              <w:jc w:val="left"/>
            </w:pPr>
            <w:r>
              <w:rPr>
                <w:b/>
                <w:bCs/>
                <w:sz w:val="18"/>
                <w:szCs w:val="18"/>
              </w:rPr>
              <w:t xml:space="preserve">Analysis</w:t>
            </w:r>
          </w:p>
        </w:tc>
        <w:tc>
          <w:tcPr>
            <w:tcW w:type="dxa" w:w="2800"/>
            <w:shd w:fill="1f3a5f" w:color="auto" w:val="clear"/>
            <w:tcMar>
              <w:top w:type="dxa" w:w="40"/>
              <w:left w:type="dxa" w:w="80"/>
              <w:bottom w:type="dxa" w:w="40"/>
              <w:right w:type="dxa" w:w="80"/>
            </w:tcMar>
          </w:tcPr>
          <w:p>
            <w:pPr>
              <w:jc w:val="center"/>
            </w:pPr>
            <w:r>
              <w:rPr>
                <w:b/>
                <w:bCs/>
                <w:sz w:val="18"/>
                <w:szCs w:val="18"/>
              </w:rPr>
              <w:t xml:space="preserve">LOS ratio (95% CI)</w:t>
            </w:r>
          </w:p>
        </w:tc>
        <w:tc>
          <w:tcPr>
            <w:tcW w:type="dxa" w:w="2800"/>
            <w:shd w:fill="1f3a5f" w:color="auto" w:val="clear"/>
            <w:tcMar>
              <w:top w:type="dxa" w:w="40"/>
              <w:left w:type="dxa" w:w="80"/>
              <w:bottom w:type="dxa" w:w="40"/>
              <w:right w:type="dxa" w:w="80"/>
            </w:tcMar>
          </w:tcPr>
          <w:p>
            <w:pPr>
              <w:jc w:val="center"/>
            </w:pPr>
            <w:r>
              <w:rPr>
                <w:b/>
                <w:bCs/>
                <w:sz w:val="18"/>
                <w:szCs w:val="18"/>
              </w:rPr>
              <w:t xml:space="preserve">ICU OR (95% CI)</w:t>
            </w:r>
          </w:p>
        </w:tc>
      </w:tr>
      <w:tr>
        <w:tc>
          <w:tcPr>
            <w:tcW w:type="dxa" w:w="3760"/>
            <w:tcMar>
              <w:top w:type="dxa" w:w="40"/>
              <w:left w:type="dxa" w:w="80"/>
              <w:bottom w:type="dxa" w:w="40"/>
              <w:right w:type="dxa" w:w="80"/>
            </w:tcMar>
          </w:tcPr>
          <w:p>
            <w:pPr>
              <w:jc w:val="left"/>
            </w:pPr>
            <w:r>
              <w:rPr>
                <w:b w:val="false"/>
                <w:bCs w:val="false"/>
                <w:sz w:val="18"/>
                <w:szCs w:val="18"/>
              </w:rPr>
              <w:t xml:space="preserve">Arthroplasty, adjusted</w:t>
            </w:r>
          </w:p>
        </w:tc>
        <w:tc>
          <w:tcPr>
            <w:tcW w:type="dxa" w:w="2800"/>
            <w:tcMar>
              <w:top w:type="dxa" w:w="40"/>
              <w:left w:type="dxa" w:w="80"/>
              <w:bottom w:type="dxa" w:w="40"/>
              <w:right w:type="dxa" w:w="80"/>
            </w:tcMar>
          </w:tcPr>
          <w:p>
            <w:pPr>
              <w:jc w:val="center"/>
            </w:pPr>
            <w:r>
              <w:rPr>
                <w:b w:val="false"/>
                <w:bCs w:val="false"/>
                <w:sz w:val="18"/>
                <w:szCs w:val="18"/>
              </w:rPr>
              <w:t xml:space="preserve">0.892 (0.840–0.947)</w:t>
            </w:r>
          </w:p>
        </w:tc>
        <w:tc>
          <w:tcPr>
            <w:tcW w:type="dxa" w:w="2800"/>
            <w:tcMar>
              <w:top w:type="dxa" w:w="40"/>
              <w:left w:type="dxa" w:w="80"/>
              <w:bottom w:type="dxa" w:w="40"/>
              <w:right w:type="dxa" w:w="80"/>
            </w:tcMar>
          </w:tcPr>
          <w:p>
            <w:pPr>
              <w:jc w:val="center"/>
            </w:pPr>
            <w:r>
              <w:rPr>
                <w:b w:val="false"/>
                <w:bCs w:val="false"/>
                <w:sz w:val="18"/>
                <w:szCs w:val="18"/>
              </w:rPr>
              <w:t xml:space="preserve">0.494 (0.324–0.753)</w:t>
            </w:r>
          </w:p>
        </w:tc>
      </w:tr>
      <w:tr>
        <w:tc>
          <w:tcPr>
            <w:tcW w:type="dxa" w:w="3760"/>
            <w:shd w:fill="eef2f6" w:color="auto" w:val="clear"/>
            <w:tcMar>
              <w:top w:type="dxa" w:w="40"/>
              <w:left w:type="dxa" w:w="80"/>
              <w:bottom w:type="dxa" w:w="40"/>
              <w:right w:type="dxa" w:w="80"/>
            </w:tcMar>
          </w:tcPr>
          <w:p>
            <w:pPr>
              <w:jc w:val="left"/>
            </w:pPr>
            <w:r>
              <w:rPr>
                <w:b w:val="false"/>
                <w:bCs w:val="false"/>
                <w:sz w:val="18"/>
                <w:szCs w:val="18"/>
              </w:rPr>
              <w:t xml:space="preserve">Arthroplasty, IPTW-weighted</w:t>
            </w:r>
          </w:p>
        </w:tc>
        <w:tc>
          <w:tcPr>
            <w:tcW w:type="dxa" w:w="2800"/>
            <w:shd w:fill="eef2f6" w:color="auto" w:val="clear"/>
            <w:tcMar>
              <w:top w:type="dxa" w:w="40"/>
              <w:left w:type="dxa" w:w="80"/>
              <w:bottom w:type="dxa" w:w="40"/>
              <w:right w:type="dxa" w:w="80"/>
            </w:tcMar>
          </w:tcPr>
          <w:p>
            <w:pPr>
              <w:jc w:val="center"/>
            </w:pPr>
            <w:r>
              <w:rPr>
                <w:b w:val="false"/>
                <w:bCs w:val="false"/>
                <w:sz w:val="18"/>
                <w:szCs w:val="18"/>
              </w:rPr>
              <w:t xml:space="preserve">0.900 (0.847–0.955)</w:t>
            </w:r>
          </w:p>
        </w:tc>
        <w:tc>
          <w:tcPr>
            <w:tcW w:type="dxa" w:w="2800"/>
            <w:shd w:fill="eef2f6" w:color="auto" w:val="clear"/>
            <w:tcMar>
              <w:top w:type="dxa" w:w="40"/>
              <w:left w:type="dxa" w:w="80"/>
              <w:bottom w:type="dxa" w:w="40"/>
              <w:right w:type="dxa" w:w="80"/>
            </w:tcMar>
          </w:tcPr>
          <w:p>
            <w:pPr>
              <w:jc w:val="center"/>
            </w:pPr>
            <w:r>
              <w:rPr>
                <w:b w:val="false"/>
                <w:bCs w:val="false"/>
                <w:sz w:val="18"/>
                <w:szCs w:val="18"/>
              </w:rPr>
              <w:t xml:space="preserve">0.440 (0.277–0.697)</w:t>
            </w:r>
          </w:p>
        </w:tc>
      </w:tr>
      <w:tr>
        <w:tc>
          <w:tcPr>
            <w:tcW w:type="dxa" w:w="3760"/>
            <w:tcMar>
              <w:top w:type="dxa" w:w="40"/>
              <w:left w:type="dxa" w:w="80"/>
              <w:bottom w:type="dxa" w:w="40"/>
              <w:right w:type="dxa" w:w="80"/>
            </w:tcMar>
          </w:tcPr>
          <w:p>
            <w:pPr>
              <w:jc w:val="left"/>
            </w:pPr>
            <w:r>
              <w:rPr>
                <w:b w:val="false"/>
                <w:bCs w:val="false"/>
                <w:sz w:val="18"/>
                <w:szCs w:val="18"/>
              </w:rPr>
              <w:t xml:space="preserve">All orthopedic, adjusted</w:t>
            </w:r>
          </w:p>
        </w:tc>
        <w:tc>
          <w:tcPr>
            <w:tcW w:type="dxa" w:w="2800"/>
            <w:tcMar>
              <w:top w:type="dxa" w:w="40"/>
              <w:left w:type="dxa" w:w="80"/>
              <w:bottom w:type="dxa" w:w="40"/>
              <w:right w:type="dxa" w:w="80"/>
            </w:tcMar>
          </w:tcPr>
          <w:p>
            <w:pPr>
              <w:jc w:val="center"/>
            </w:pPr>
            <w:r>
              <w:rPr>
                <w:b w:val="false"/>
                <w:bCs w:val="false"/>
                <w:sz w:val="18"/>
                <w:szCs w:val="18"/>
              </w:rPr>
              <w:t xml:space="preserve">0.913 (0.879–0.949)</w:t>
            </w:r>
          </w:p>
        </w:tc>
        <w:tc>
          <w:tcPr>
            <w:tcW w:type="dxa" w:w="2800"/>
            <w:tcMar>
              <w:top w:type="dxa" w:w="40"/>
              <w:left w:type="dxa" w:w="80"/>
              <w:bottom w:type="dxa" w:w="40"/>
              <w:right w:type="dxa" w:w="80"/>
            </w:tcMar>
          </w:tcPr>
          <w:p>
            <w:pPr>
              <w:jc w:val="center"/>
            </w:pPr>
            <w:r>
              <w:rPr>
                <w:b w:val="false"/>
                <w:bCs w:val="false"/>
                <w:sz w:val="18"/>
                <w:szCs w:val="18"/>
              </w:rPr>
              <w:t xml:space="preserve">0.669 (0.584–0.767)</w:t>
            </w:r>
          </w:p>
        </w:tc>
      </w:tr>
    </w:tbl>
    <w:p>
      <w:pPr>
        <w:spacing w:after="200" w:before="60"/>
      </w:pPr>
      <w:r>
        <w:rPr>
          <w:i/>
          <w:iCs/>
          <w:color w:val="555555"/>
          <w:sz w:val="17"/>
          <w:szCs w:val="17"/>
        </w:rPr>
        <w:t xml:space="preserve">Table 3. Sensitivity analyses of the neuraxial association.</w:t>
      </w:r>
    </w:p>
    <w:p>
      <w:pPr>
        <w:pStyle w:val="Heading1"/>
        <w:spacing w:after="120" w:before="280"/>
      </w:pPr>
      <w:r>
        <w:rPr>
          <w:b/>
          <w:bCs/>
          <w:color w:val="1f3a5f"/>
        </w:rPr>
        <w:t xml:space="preserve">4. Discussion</w:t>
      </w:r>
    </w:p>
    <w:p>
      <w:pPr>
        <w:spacing w:after="150"/>
        <w:jc w:val="both"/>
      </w:pPr>
      <w:r>
        <w:rPr>
          <w:sz w:val="22"/>
          <w:szCs w:val="22"/>
        </w:rPr>
        <w:t xml:space="preserve">In a large cohort of lower-limb arthroplasty patients, neuraxial anesthesia was associated with a lower burden of early recovery, reflected in shorter hospital stay and fewer unplanned ICU admissions, compared with general anesthesia. The association was consistent across adjusted, propensity-weighted, and broader-cohort analyses, suggesting it is not an artifact of a single specification or the small general-anesthesia subgroup.</w:t>
      </w:r>
    </w:p>
    <w:p>
      <w:pPr>
        <w:spacing w:after="150"/>
        <w:jc w:val="both"/>
      </w:pPr>
      <w:r>
        <w:rPr>
          <w:sz w:val="22"/>
          <w:szCs w:val="22"/>
        </w:rPr>
        <w:t xml:space="preserve">These findings align with the broader movement in arthroplasty care toward recovery-oriented, rehabilitation-focused perioperative pathways. Within this framework, anesthetic technique emerges as a potentially modifiable element of the recovery trajectory rather than a purely intraoperative consideration. Mechanistically, neuraxial techniques may support earlier mobilization through improved early pain control and reduced systemic physiological disturbance, which are the same functional milestones that govern discharge readiness after joint replacement.</w:t>
      </w:r>
    </w:p>
    <w:p>
      <w:pPr>
        <w:spacing w:after="150"/>
        <w:jc w:val="both"/>
      </w:pPr>
      <w:r>
        <w:rPr>
          <w:sz w:val="22"/>
          <w:szCs w:val="22"/>
        </w:rPr>
        <w:t xml:space="preserve">Framing length of stay and ICU admission as markers of early functional recovery burden connects these perioperative outcomes to the musculoskeletal-recovery literature. In contemporary practice, arthroplasty discharge is largely milestone-driven, so a shorter stay reflects more rapid attainment of functional recovery goals rather than merely administrative efficiency. The consistency of the association with the reduced need for critical-care support reinforces this interpretation.</w:t>
      </w:r>
    </w:p>
    <w:p>
      <w:pPr>
        <w:pStyle w:val="Heading2"/>
        <w:spacing w:after="100" w:before="200"/>
      </w:pPr>
      <w:r>
        <w:rPr>
          <w:b/>
          <w:bCs/>
          <w:color w:val="1f3a5f"/>
        </w:rPr>
        <w:t xml:space="preserve">4.1 Limitations</w:t>
      </w:r>
    </w:p>
    <w:p>
      <w:pPr>
        <w:spacing w:after="150"/>
        <w:jc w:val="both"/>
      </w:pPr>
      <w:r>
        <w:rPr>
          <w:sz w:val="22"/>
          <w:szCs w:val="22"/>
        </w:rPr>
        <w:t xml:space="preserve">This study has important limitations. First, it is observational; although adjustment and IPTW addressed measured confounders, residual confounding by unmeasured factors, including frailty, baseline functional status, surgical complexity beyond ASA class, and clinician or patient preference, cannot be excluded, and the associations should not be interpreted as causal. Second, the general-anesthesia group was small (n=269) and likely selected, as reflected in its higher comorbidity and emergency burden; while weighting improved balance, the comparison rests on a limited number of general-anesthesia patients. Third, length of stay and ICU admission are administrative proxies for recovery burden and do not directly measure musculoskeletal or functional recovery; the dataset does not contain functional, kinesiologic, or patient-reported recovery measures, and this remains an important gap for future work. Fourth, the cohort is single-center and of a single ethnicity, which may limit generalizability.</w:t>
      </w:r>
    </w:p>
    <w:p>
      <w:pPr>
        <w:pStyle w:val="Heading2"/>
        <w:spacing w:after="100" w:before="200"/>
      </w:pPr>
      <w:r>
        <w:rPr>
          <w:b/>
          <w:bCs/>
          <w:color w:val="1f3a5f"/>
        </w:rPr>
        <w:t xml:space="preserve">4.2 Conclusions</w:t>
      </w:r>
    </w:p>
    <w:p>
      <w:pPr>
        <w:spacing w:after="150"/>
        <w:jc w:val="both"/>
      </w:pPr>
      <w:r>
        <w:rPr>
          <w:sz w:val="22"/>
          <w:szCs w:val="22"/>
        </w:rPr>
        <w:t xml:space="preserve">In a large musculoskeletal-surgical cohort, neuraxial anesthesia was associated with reduced early functional recovery burden after lower-limb arthroplasty. Anesthetic technique may be a modifiable factor within the arthroplasty recovery pathway. Prospective studies incorporating direct functional and rehabilitation outcomes are needed to confirm whether this association reflects a genuine effect on functional recovery.</w:t>
      </w:r>
    </w:p>
    <w:p>
      <w:pPr>
        <w:pStyle w:val="Heading1"/>
        <w:spacing w:after="120" w:before="280"/>
      </w:pPr>
      <w:r>
        <w:rPr>
          <w:b/>
          <w:bCs/>
          <w:color w:val="1f3a5f"/>
        </w:rPr>
        <w:t xml:space="preserve">Figures</w:t>
      </w:r>
    </w:p>
    <w:p>
      <w:pPr>
        <w:spacing w:after="150"/>
        <w:jc w:val="both"/>
      </w:pPr>
      <w:r>
        <w:rPr>
          <w:sz w:val="22"/>
          <w:szCs w:val="22"/>
        </w:rPr>
        <w:t xml:space="preserve">Figure 1. Forest plot of the neuraxial association across analyses (A, length of stay; B, ICU admission). Figure 2. Covariate balance before and after IPTW. Figure 3. STROBE cohort flow diagram. [Insert figure image files figure1_forest.png, figure2_loveplot.png, figure3_strobe_flow.png, and the raw-data figures figA–figC as supplementary.]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2026-08-21T17:48:04.691Z</dcterms:created>
  <dcterms:modified xsi:type="dcterms:W3CDTF">2026-08-21T17:48:04.704Z</dcterms:modified>
</cp:coreProperties>
</file>

<file path=docProps/custom.xml><?xml version="1.0" encoding="utf-8"?>
<Properties xmlns="http://schemas.openxmlformats.org/officeDocument/2006/custom-properties" xmlns:vt="http://schemas.openxmlformats.org/officeDocument/2006/docPropsVTypes"/>
</file>