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a5f"/>
        </w:rPr>
        <w:t xml:space="preserve">Neuraxial versus General Anesthesia and Recovery Burden after Orthopedic Surgery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Tables and figures. Estimates derived from INSPIRE (Seoul National University Hospital perioperative registry). Values are the study's own model output; see Methods for cohort and model definitions.</w:t>
      </w:r>
    </w:p>
    <w:p>
      <w:pPr>
        <w:pStyle w:val="Heading2"/>
        <w:spacing w:after="120" w:before="240"/>
      </w:pPr>
      <w:r>
        <w:rPr>
          <w:b/>
          <w:bCs/>
          <w:color w:val="1f3a5f"/>
        </w:rPr>
        <w:t xml:space="preserve">Table 1. Baseline characteristics of the arthroplasty cohort, by anesthesia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2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General (n=269)</w:t>
            </w:r>
          </w:p>
        </w:tc>
        <w:tc>
          <w:tcPr>
            <w:tcW w:type="dxa" w:w="2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Neuraxial (n=2271)</w:t>
            </w:r>
          </w:p>
        </w:tc>
      </w:tr>
      <w:tr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Age, mean (years)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68.1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66.1</w:t>
            </w:r>
          </w:p>
        </w:tc>
      </w:tr>
      <w:tr>
        <w:tc>
          <w:tcPr>
            <w:tcW w:type="dxa" w:w="39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Female, %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65.8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74.9</w:t>
            </w:r>
          </w:p>
        </w:tc>
      </w:tr>
      <w:tr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ASA class 3+, 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39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 surgery, %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Knee (vs hip), 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33.5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49.9</w:t>
            </w:r>
          </w:p>
        </w:tc>
      </w:tr>
      <w:tr>
        <w:tc>
          <w:tcPr>
            <w:tcW w:type="dxa" w:w="39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Length of stay, median (days)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2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admission, 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</w:tr>
    </w:tbl>
    <w:p>
      <w:pPr>
        <w:spacing w:after="200" w:before="80"/>
      </w:pPr>
      <w:r>
        <w:rPr>
          <w:i/>
          <w:iCs/>
          <w:color w:val="555555"/>
          <w:sz w:val="17"/>
          <w:szCs w:val="17"/>
        </w:rPr>
        <w:t xml:space="preserve">Arthroplasty cohort (n = 2,540 with complete covariates). General-anesthesia patients were older and had higher ASA class and emergency proportions, indicating confounding by indication.</w:t>
      </w:r>
    </w:p>
    <w:p>
      <w:pPr>
        <w:pStyle w:val="Heading2"/>
        <w:spacing w:after="120" w:before="240"/>
      </w:pPr>
      <w:r>
        <w:rPr>
          <w:b/>
          <w:bCs/>
          <w:color w:val="1f3a5f"/>
        </w:rPr>
        <w:t xml:space="preserve">Table 2. Adjusted associations with recovery outcomes (arthroplasty, primary models)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600"/>
        <w:gridCol w:w="700"/>
        <w:gridCol w:w="2600"/>
        <w:gridCol w:w="700"/>
      </w:tblGrid>
      <w:tr>
        <w:trPr>
          <w:tblHeader/>
        </w:trPr>
        <w:tc>
          <w:tcPr>
            <w:tcW w:type="dxa" w:w="23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LOS ratio (95% CI)</w:t>
            </w:r>
          </w:p>
        </w:tc>
        <w:tc>
          <w:tcPr>
            <w:tcW w:type="dxa" w:w="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6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ICU OR (95% CI)</w:t>
            </w:r>
          </w:p>
        </w:tc>
        <w:tc>
          <w:tcPr>
            <w:tcW w:type="dxa" w:w="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Neuraxial (vs general)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0.892 (0.840–0.947)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0.494 (0.324–0.753)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3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ASA 3+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1.231 (1.156–1.310)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 (3.613–7.743)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Knee (vs hip)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1.304 (1.250–1.360)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0.327 (0.215–0.498)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3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 (per year)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 (0.998–1.001)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0.739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1.028 (1.013–1.045)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1.055 (1.009–1.103)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 (0.605–1.306)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0.548</w:t>
            </w:r>
          </w:p>
        </w:tc>
      </w:tr>
      <w:tr>
        <w:tc>
          <w:tcPr>
            <w:tcW w:type="dxa" w:w="23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 (1.003–1.235)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0.045</w:t>
            </w:r>
          </w:p>
        </w:tc>
        <w:tc>
          <w:tcPr>
            <w:tcW w:type="dxa" w:w="26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1.200 (0.608–2.369)</w:t>
            </w:r>
          </w:p>
        </w:tc>
        <w:tc>
          <w:tcPr>
            <w:tcW w:type="dxa" w:w="7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0.599</w:t>
            </w:r>
          </w:p>
        </w:tc>
      </w:tr>
    </w:tbl>
    <w:p>
      <w:pPr>
        <w:spacing w:after="200" w:before="80"/>
      </w:pPr>
      <w:r>
        <w:rPr>
          <w:i/>
          <w:iCs/>
          <w:color w:val="555555"/>
          <w:sz w:val="17"/>
          <w:szCs w:val="17"/>
        </w:rPr>
        <w:t xml:space="preserve">LOS from Gamma generalized linear model (log link); ratio &lt;1 indicates shorter mean length of stay. ICU admission from logistic regression; OR &lt;1 indicates lower odds. Adjusted for age, sex, ASA class, emergency status, and procedure (hip/knee).</w:t>
      </w:r>
    </w:p>
    <w:p>
      <w:pPr>
        <w:pStyle w:val="Heading2"/>
        <w:spacing w:after="120" w:before="240"/>
      </w:pPr>
      <w:r>
        <w:rPr>
          <w:b/>
          <w:bCs/>
          <w:color w:val="1f3a5f"/>
        </w:rPr>
        <w:t xml:space="preserve">Table 3. Sensitivity analyses of the neuraxial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Analysis</w:t>
            </w:r>
          </w:p>
        </w:tc>
        <w:tc>
          <w:tcPr>
            <w:tcW w:type="dxa" w:w="28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LOS ratio (95% CI)</w:t>
            </w:r>
          </w:p>
        </w:tc>
        <w:tc>
          <w:tcPr>
            <w:tcW w:type="dxa" w:w="28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ICU OR (95% CI)</w:t>
            </w:r>
          </w:p>
        </w:tc>
      </w:tr>
      <w:tr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Arthroplasty, adjusted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0.892 (0.840–0.947)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0.494 (0.324–0.753)</w:t>
            </w:r>
          </w:p>
        </w:tc>
      </w:tr>
      <w:tr>
        <w:tc>
          <w:tcPr>
            <w:tcW w:type="dxa" w:w="376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Arthroplasty, IPTW-weighted</w:t>
            </w:r>
          </w:p>
        </w:tc>
        <w:tc>
          <w:tcPr>
            <w:tcW w:type="dxa" w:w="28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 (0.847–0.955)</w:t>
            </w:r>
          </w:p>
        </w:tc>
        <w:tc>
          <w:tcPr>
            <w:tcW w:type="dxa" w:w="2800"/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 (0.277–0.697)</w:t>
            </w:r>
          </w:p>
        </w:tc>
      </w:tr>
      <w:tr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orthopedic, adjusted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0.913 (0.879–0.949)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0.669 (0.584–0.767)</w:t>
            </w:r>
          </w:p>
        </w:tc>
      </w:tr>
    </w:tbl>
    <w:p>
      <w:pPr>
        <w:spacing w:after="200" w:before="80"/>
      </w:pPr>
      <w:r>
        <w:rPr>
          <w:i/>
          <w:iCs/>
          <w:color w:val="555555"/>
          <w:sz w:val="17"/>
          <w:szCs w:val="17"/>
        </w:rPr>
        <w:t xml:space="preserve">The neuraxial association was consistent across the adjusted primary model, IPTW-weighted analysis, and the broader all-orthopedic cohort.</w:t>
      </w:r>
    </w:p>
    <w:p>
      <w:pPr>
        <w:pStyle w:val="Heading2"/>
        <w:spacing w:after="120" w:before="240"/>
      </w:pPr>
      <w:r>
        <w:rPr>
          <w:b/>
          <w:bCs/>
          <w:color w:val="1f3a5f"/>
        </w:rPr>
        <w:t xml:space="preserve">Figure 1. Forest plot of the neuraxial effect across analyses</w:t>
      </w:r>
    </w:p>
    <w:p>
      <w:pPr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</w:pPr>
      <w:r>
        <w:rPr>
          <w:i/>
          <w:iCs/>
          <w:color w:val="555555"/>
          <w:sz w:val="17"/>
          <w:szCs w:val="17"/>
        </w:rPr>
        <w:t xml:space="preserve">Panel A: ratio of mean length of stay. Panel B: odds of ICU admission. Estimates below 1 favor neuraxial anesthesia. Bars are 95% confidence intervals.</w:t>
      </w:r>
    </w:p>
    <w:p>
      <w:pPr>
        <w:pStyle w:val="Heading2"/>
        <w:spacing w:after="120" w:before="240"/>
      </w:pPr>
      <w:r>
        <w:rPr>
          <w:b/>
          <w:bCs/>
          <w:color w:val="1f3a5f"/>
        </w:rPr>
        <w:t xml:space="preserve">Figure 2. Covariate balance before and after IPTW</w:t>
      </w:r>
    </w:p>
    <w:p>
      <w:pPr>
        <w:jc w:val="center"/>
      </w:pPr>
      <w:r>
        <w:drawing>
          <wp:inline distT="0" distB="0" distL="0" distR="0">
            <wp:extent cx="4000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</w:pPr>
      <w:r>
        <w:rPr>
          <w:i/>
          <w:iCs/>
          <w:color w:val="555555"/>
          <w:sz w:val="17"/>
          <w:szCs w:val="17"/>
        </w:rPr>
        <w:t xml:space="preserve">Absolute standardized mean differences. After inverse-probability-of-treatment weighting, all covariates fall below the 0.1 threshold, indicating good balance between anesthesia groups.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Limitation note: length of stay and ICU admission are administrative proxies for recovery burden, not direct measures of musculoskeletal function. Anesthetic choice was non-random; residual confounding from unmeasured factors (frailty, functional status, surgeon preference) cannot be excluded.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af9961814bcbebfaa097aa730cf9ebdf36aa67.png"/><Relationship Id="rId8" Type="http://schemas.openxmlformats.org/officeDocument/2006/relationships/image" Target="media/137edf9041e1e65a6788dda652dc5d1c6f3ba8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2026-08-21T17:05:56.274Z</dcterms:created>
  <dcterms:modified xsi:type="dcterms:W3CDTF">2026-08-21T17:05:56.287Z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