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Iron Oxygen Quorum Research Project</w:t>
      </w:r>
    </w:p>
    <w:p>
      <w:pPr>
        <w:jc w:val="left"/>
      </w:pPr>
      <w:r>
        <w:rPr>
          <w:b/>
          <w:color w:val="000000"/>
          <w:sz w:val="26"/>
        </w:rPr>
        <w:t>Project summary research protocol and reusable master prompt</w:t>
      </w:r>
    </w:p>
    <w:p>
      <w:r>
        <w:rPr>
          <w:b/>
        </w:rPr>
        <w:t xml:space="preserve">Purpose. </w:t>
      </w:r>
      <w:r>
        <w:t>This document consolidates the work completed so far on a nonexperimental, public-data study inspired by Megan Boulette’s research. It records the scientific rationale, proposed datasets, analysis plan, claim boundaries, deliverables, and a master prompt that can be reused to continue the project.</w:t>
      </w:r>
    </w:p>
    <w:p>
      <w:r>
        <w:rPr>
          <w:b/>
        </w:rPr>
        <w:t xml:space="preserve">Current status. </w:t>
      </w:r>
      <w:r>
        <w:t>Analysis is complete. All four contrasts of the two-organism, two-perturbation design have been retrieved, scored against frozen gene sets, and assembled into a direction matrix across seven functional categories. The pathway ontology and analysis thresholds were frozen on 8 September 2026, before any S. flexneri data were examined. Gene set membership was then externally reviewed, which identified a further annotation error and three category corrections; sets were rebuilt as revision 2 on 9 September 2026 and every change is recorded in a revision log. The hypothesis has been revised twice, both times toward weaker claims, and the gene sets three times. Revision 3, a completeness audit run on 10 September 2026, added 47 genes without changing any direction call. Remaining work is the novelty search close to submission, and if wanted, retrieval of the S. flexneri virulence-plasmid expression table to fill the one unavailable cell.</w:t>
      </w:r>
    </w:p>
    <w:p>
      <w:pPr>
        <w:pStyle w:val="Heading1"/>
      </w:pPr>
      <w:r>
        <w:t>Research foundation</w:t>
      </w:r>
    </w:p>
    <w:p>
      <w:pPr>
        <w:pStyle w:val="Heading2"/>
      </w:pPr>
      <w:r>
        <w:t>Researcher and subject area</w:t>
      </w:r>
    </w:p>
    <w:p>
      <w:r>
        <w:t>The project is grounded in the work of Megan Boulette, a lecturer at Texas State University. Her profile identifies iron uptake, virulence gene expression, and microbial communities as core interests. Her publications also address anaerobic regulation, quorum-sensing molecules, bacterial metabolism, and polymicrobial communication.</w:t>
      </w:r>
    </w:p>
    <w:p>
      <w:pPr>
        <w:ind w:left="403" w:hanging="288"/>
      </w:pPr>
      <w:r>
        <w:t>•</w:t>
        <w:tab/>
        <w:t>Iron acquisition and transport in Shigella flexneri</w:t>
      </w:r>
    </w:p>
    <w:p>
      <w:pPr>
        <w:ind w:left="403" w:hanging="288"/>
      </w:pPr>
      <w:r>
        <w:t>•</w:t>
        <w:tab/>
        <w:t>Anaerobic regulation involving ArcA, Fnr, and Fur</w:t>
      </w:r>
    </w:p>
    <w:p>
      <w:pPr>
        <w:ind w:left="403" w:hanging="288"/>
      </w:pPr>
      <w:r>
        <w:t>•</w:t>
        <w:tab/>
        <w:t>Virulence under oxygen-limited conditions</w:t>
      </w:r>
    </w:p>
    <w:p>
      <w:pPr>
        <w:ind w:left="403" w:hanging="288"/>
      </w:pPr>
      <w:r>
        <w:t>•</w:t>
        <w:tab/>
        <w:t>Quorum-sensing molecules and their non-signaling properties</w:t>
      </w:r>
    </w:p>
    <w:p>
      <w:pPr>
        <w:ind w:left="403" w:hanging="288"/>
      </w:pPr>
      <w:r>
        <w:t>•</w:t>
        <w:tab/>
        <w:t>Alanine catabolism in Pseudomonas aeruginosa</w:t>
      </w:r>
    </w:p>
    <w:p>
      <w:pPr>
        <w:ind w:left="403" w:hanging="288"/>
      </w:pPr>
      <w:r>
        <w:t>•</w:t>
        <w:tab/>
        <w:t>Polymicrobial metabolite sensing and interspecies communication</w:t>
      </w:r>
    </w:p>
    <w:p>
      <w:pPr>
        <w:pStyle w:val="Heading1"/>
      </w:pPr>
      <w:r>
        <w:t>Proposed study</w:t>
      </w:r>
    </w:p>
    <w:p>
      <w:pPr>
        <w:pStyle w:val="Heading2"/>
      </w:pPr>
      <w:r>
        <w:t>Working title</w:t>
      </w:r>
    </w:p>
    <w:p>
      <w:r>
        <w:t>The Iron–Oxygen–Quorum Triangle: A Cross-Species Computational Analysis of Virulence Regulation in Shigella flexneri and Pseudomonas aeruginosa</w:t>
      </w:r>
    </w:p>
    <w:p>
      <w:pPr>
        <w:pStyle w:val="Heading2"/>
      </w:pPr>
      <w:r>
        <w:t>Central research question</w:t>
      </w:r>
    </w:p>
    <w:p>
      <w:r>
        <w:t>Do oxygen limitation, iron deprivation, and quinolone quorum-sensing signals activate a shared virulence-associated stress program in Shigella flexneri and Pseudomonas aeruginosa?</w:t>
      </w:r>
    </w:p>
    <w:p>
      <w:pPr>
        <w:pStyle w:val="Heading2"/>
      </w:pPr>
      <w:r>
        <w:t>Primary hypothesis</w:t>
      </w:r>
    </w:p>
    <w:p>
      <w:r>
        <w:t>Iron limitation elicits a conserved transcriptional response across distantly related Gram-negative pathogens, while oxygen limitation does not. Specifically: iron acquisition is induced and iron storage repressed under iron limitation in both Shigella flexneri and Pseudomonas aeruginosa, despite non-homologous siderophore systems; under oxygen limitation the same category is sharply repressed in S. flexneri and unresponsive in P. aeruginosa. Iron and oxygen stress are therefore not interchangeable perturbations, and the difference between organisms lies in response magnitude rather than in regulatory capability, since both species carry oxygen-responsive regulatory sites at iron promoters. A secondary result: the P. aeruginosa iron response to PQS is attributable primarily to iron chelation, as the non-chelating quinolones HHQ and HQNO produced no detectable transcriptional response at the same concentration. Revised 9 September 2026 following completion of all four contrasts; see Limitations.</w:t>
      </w:r>
    </w:p>
    <w:p>
      <w:pPr>
        <w:pStyle w:val="Heading2"/>
      </w:pPr>
      <w:r>
        <w:t>Why this approach could be innovative</w:t>
      </w:r>
    </w:p>
    <w:p>
      <w:r>
        <w:t>Boulette’s research connects oxygen sensing, iron acquisition, metabolism, quorum sensing, and virulence, but these topics are often examined separately. The proposed synthesis treats them as an interacting environmental system: oxygen changes iron chemistry and metabolism; bacteria alter transport and virulence programs; and quorum-associated molecules such as PQS can affect iron availability as well as gene regulation.</w:t>
      </w:r>
    </w:p>
    <w:p>
      <w:r>
        <w:t>The cross-species framework appears underexplored, but this is a provisional assessment. A formal literature search must be completed before the project is described as entirely novel.</w:t>
      </w:r>
    </w:p>
    <w:p>
      <w:pPr>
        <w:pStyle w:val="Heading1"/>
      </w:pPr>
      <w:r>
        <w:t>Initial evidence</w:t>
      </w:r>
    </w:p>
    <w:p>
      <w:r>
        <w:rPr>
          <w:b/>
        </w:rPr>
        <w:t xml:space="preserve">Shigella oxygen and iron regulation. </w:t>
      </w:r>
      <w:r>
        <w:t>Anaerobic conditions activate the Feo ferrous-iron system and repress other iron-acquisition pathways. ArcA, Fnr, and Fur help connect oxygen availability, iron acquisition, and virulence.</w:t>
      </w:r>
    </w:p>
    <w:p>
      <w:r>
        <w:rPr>
          <w:b/>
        </w:rPr>
        <w:t xml:space="preserve">Expanded Shigella transcriptomics. </w:t>
      </w:r>
      <w:r>
        <w:t>RNA sequencing has identified broad oxygen- and FNR-associated changes involving metabolism, transport, regulation, and virulence.</w:t>
      </w:r>
    </w:p>
    <w:p>
      <w:r>
        <w:rPr>
          <w:b/>
        </w:rPr>
        <w:t xml:space="preserve">Pseudomonas response to PQS. </w:t>
      </w:r>
      <w:r>
        <w:t>PQS exposure produces a strong iron-acquisition response. Published interpretation separates effects linked to iron chelation from additional PQS-specific effects. Reanalysis of GSE81364 (8 September 2026) confirms induction of the iron-acquisition regulon under PQS, but scores the prespecified oxidative-stress category as repressed rather than induced, and finds no significant response to the non-chelating quinolones HHQ or HQNO.</w:t>
      </w:r>
    </w:p>
    <w:p>
      <w:r>
        <w:rPr>
          <w:b/>
        </w:rPr>
        <w:t xml:space="preserve">Quinolone signal dissection. </w:t>
      </w:r>
      <w:r>
        <w:t>Public data comparing PQS, HHQ, HQNO, and PqsE can help distinguish overlapping chemical and regulatory effects.</w:t>
      </w:r>
    </w:p>
    <w:p>
      <w:pPr>
        <w:pStyle w:val="Heading1"/>
      </w:pPr>
      <w:r>
        <w:t>Initial dataset inventory</w:t>
      </w:r>
    </w:p>
    <w:tbl>
      <w:tblPr>
        <w:tblW w:type="auto" w:w="0"/>
        <w:tblLayout w:type="fixed"/>
        <w:tblLook w:firstColumn="1" w:firstRow="1" w:lastColumn="0" w:lastRow="0" w:noHBand="0" w:noVBand="1" w:val="04A0"/>
      </w:tblPr>
      <w:tblGrid>
        <w:gridCol w:w="2469"/>
        <w:gridCol w:w="2469"/>
        <w:gridCol w:w="2469"/>
        <w:gridCol w:w="2469"/>
      </w:tblGrid>
      <w:tr>
        <w:trPr>
          <w:tblHeader/>
        </w:trPr>
        <w:tc>
          <w:tcPr>
            <w:tcW w:type="dxa" w:w="2088"/>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color w:val="FFFFFF"/>
                <w:sz w:val="18"/>
              </w:rPr>
              <w:t>Source</w:t>
            </w:r>
          </w:p>
        </w:tc>
        <w:tc>
          <w:tcPr>
            <w:tcW w:type="dxa" w:w="1656"/>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color w:val="FFFFFF"/>
                <w:sz w:val="18"/>
              </w:rPr>
              <w:t>Organism</w:t>
            </w:r>
          </w:p>
        </w:tc>
        <w:tc>
          <w:tcPr>
            <w:tcW w:type="dxa" w:w="3816"/>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color w:val="FFFFFF"/>
                <w:sz w:val="18"/>
              </w:rPr>
              <w:t>Relevant comparison</w:t>
            </w:r>
          </w:p>
        </w:tc>
        <w:tc>
          <w:tcPr>
            <w:tcW w:type="dxa" w:w="1944"/>
            <w:shd w:fill="1F4E79"/>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b/>
                <w:color w:val="FFFFFF"/>
                <w:sz w:val="18"/>
              </w:rPr>
              <w:t>Planned role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7"/>
              </w:rPr>
              <w:t>Boulette and Payne 2007</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7"/>
              </w:rPr>
              <w:t>S. flexneri</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7"/>
              </w:rPr>
              <w:t>Oxygen ArcA Fnr Fur iron uptake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7"/>
              </w:rPr>
              <w:t>Mechanistic benchmark</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rPr>
                <w:sz w:val="17"/>
              </w:rPr>
              <w:t>ERP003817 and E ERAD 204</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rPr>
                <w:sz w:val="17"/>
              </w:rPr>
              <w:t>S. flexneri</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rPr>
                <w:sz w:val="17"/>
              </w:rPr>
              <w:t>Aerobic versus anaerobic and wild type versus fnr deletion</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rPr>
                <w:sz w:val="17"/>
              </w:rPr>
              <w:t>Primary transcriptomics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7"/>
              </w:rPr>
              <w:t>GSE183515</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7"/>
              </w:rPr>
              <w:t>S. flexneri</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7"/>
              </w:rPr>
              <w:t>pH biofilm and virulence conditions</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7"/>
              </w:rPr>
              <w:t>Contextual evidence</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rPr>
                <w:sz w:val="17"/>
              </w:rPr>
              <w:t>GSE3836</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rPr>
                <w:sz w:val="17"/>
              </w:rPr>
              <w:t>P. aeruginosa</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rPr>
                <w:sz w:val="17"/>
              </w:rPr>
              <w:t>PQS and iron related response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shd w:fill="EAF2F8"/>
          </w:tcPr>
          <w:p>
            <w:r>
              <w:rPr>
                <w:sz w:val="17"/>
              </w:rPr>
              <w:t>Primary transcriptomics</w:t>
            </w:r>
          </w:p>
        </w:tc>
      </w:tr>
      <w:t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7"/>
              </w:rPr>
              <w:t>GSE81364</w:t>
            </w:r>
          </w:p>
        </w:tc>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7"/>
              </w:rPr>
              <w:t>P. aeruginosa</w:t>
            </w:r>
          </w:p>
        </w:tc>
        <w:tc>
          <w:tcPr>
            <w:tcW w:type="dxa" w:w="3816"/>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7"/>
              </w:rPr>
              <w:t>PQS HHQ HQNO and PqsE</w:t>
            </w:r>
          </w:p>
        </w:tc>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90" w:type="dxa"/>
              <w:start w:w="110" w:type="dxa"/>
              <w:bottom w:w="90" w:type="dxa"/>
              <w:end w:w="110" w:type="dxa"/>
            </w:tcMar>
            <w:vAlign w:val="center"/>
          </w:tcPr>
          <w:p>
            <w:r>
              <w:rPr>
                <w:sz w:val="17"/>
              </w:rPr>
              <w:t>Signal dissection</w:t>
            </w:r>
          </w:p>
        </w:tc>
      </w:tr>
    </w:tbl>
    <w:p>
      <w:pPr>
        <w:pStyle w:val="Heading1"/>
      </w:pPr>
      <w:r>
        <w:t>Prespecified biological categories</w:t>
      </w:r>
    </w:p>
    <w:p>
      <w:pPr>
        <w:ind w:left="403" w:hanging="288"/>
      </w:pPr>
      <w:r>
        <w:t>•</w:t>
        <w:tab/>
        <w:t>Iron uptake and iron storage</w:t>
      </w:r>
    </w:p>
    <w:p>
      <w:pPr>
        <w:ind w:left="403" w:hanging="288"/>
      </w:pPr>
      <w:r>
        <w:t>•</w:t>
        <w:tab/>
        <w:t>Oxidative stress response</w:t>
      </w:r>
    </w:p>
    <w:p>
      <w:pPr>
        <w:ind w:left="403" w:hanging="288"/>
      </w:pPr>
      <w:r>
        <w:t>•</w:t>
        <w:tab/>
        <w:t>Anaerobic respiration</w:t>
      </w:r>
    </w:p>
    <w:p>
      <w:pPr>
        <w:ind w:left="403" w:hanging="288"/>
      </w:pPr>
      <w:r>
        <w:t>•</w:t>
        <w:tab/>
        <w:t>Central carbon and amino acid metabolism</w:t>
      </w:r>
    </w:p>
    <w:p>
      <w:pPr>
        <w:ind w:left="403" w:hanging="288"/>
      </w:pPr>
      <w:r>
        <w:t>•</w:t>
        <w:tab/>
        <w:t>Quorum sensing and biofilm formation</w:t>
      </w:r>
    </w:p>
    <w:p>
      <w:pPr>
        <w:ind w:left="403" w:hanging="288"/>
      </w:pPr>
      <w:r>
        <w:t>•</w:t>
        <w:tab/>
        <w:t>Motility</w:t>
      </w:r>
    </w:p>
    <w:p>
      <w:pPr>
        <w:ind w:left="403" w:hanging="288"/>
      </w:pPr>
      <w:r>
        <w:t>•</w:t>
        <w:tab/>
        <w:t>Secretion and virulence</w:t>
      </w:r>
    </w:p>
    <w:p>
      <w:pPr>
        <w:pStyle w:val="Heading1"/>
      </w:pPr>
      <w:r>
        <w:t>Analysis plan</w:t>
      </w:r>
    </w:p>
    <w:p>
      <w:pPr>
        <w:ind w:left="461" w:hanging="403"/>
      </w:pPr>
      <w:r>
        <w:t>1.</w:t>
        <w:tab/>
      </w:r>
      <w:r>
        <w:rPr>
          <w:b/>
        </w:rPr>
        <w:t xml:space="preserve">Dataset verification. </w:t>
      </w:r>
      <w:r>
        <w:t>Record strain, experimental and control conditions, oxygen and iron conditions, medium, growth phase, replication, platform, normalization, gene identifiers, statistical rules, and file availability.</w:t>
      </w:r>
    </w:p>
    <w:p>
      <w:pPr>
        <w:ind w:left="461" w:hanging="403"/>
      </w:pPr>
      <w:r>
        <w:t>2.</w:t>
        <w:tab/>
      </w:r>
      <w:r>
        <w:rPr>
          <w:b/>
        </w:rPr>
        <w:t xml:space="preserve">Within study reproduction. </w:t>
      </w:r>
      <w:r>
        <w:t>Reproduce each publication’s main observations before making cross-study comparisons. Keep RNA-sequencing and microarray effect sizes separate during initial processing.</w:t>
      </w:r>
    </w:p>
    <w:p>
      <w:pPr>
        <w:ind w:left="461" w:hanging="403"/>
      </w:pPr>
      <w:r>
        <w:t>3.</w:t>
        <w:tab/>
      </w:r>
      <w:r>
        <w:rPr>
          <w:b/>
        </w:rPr>
        <w:t xml:space="preserve">Gene annotation. </w:t>
      </w:r>
      <w:r>
        <w:t>Map genes to ortholog groups, prespecified pathways, iron and oxygen regulons, quorum-sensing systems, and virulence categories.</w:t>
      </w:r>
    </w:p>
    <w:p>
      <w:pPr>
        <w:ind w:left="461" w:hanging="403"/>
      </w:pPr>
      <w:r>
        <w:t>4.</w:t>
        <w:tab/>
      </w:r>
      <w:r>
        <w:rPr>
          <w:b/>
        </w:rPr>
        <w:t xml:space="preserve">Pathway scoring. </w:t>
      </w:r>
      <w:r>
        <w:t>Calculate enrichment results, then summarize direction as induced, repressed, or unresolved for each pathway and contrast.</w:t>
      </w:r>
    </w:p>
    <w:p>
      <w:pPr>
        <w:ind w:left="461" w:hanging="403"/>
      </w:pPr>
      <w:r>
        <w:t>5.</w:t>
        <w:tab/>
      </w:r>
      <w:r>
        <w:rPr>
          <w:b/>
        </w:rPr>
        <w:t xml:space="preserve">Evidence triangulation. </w:t>
      </w:r>
      <w:r>
        <w:t>Classify responses as convergent, context-dependent, or organism-specific.</w:t>
      </w:r>
    </w:p>
    <w:p>
      <w:pPr>
        <w:ind w:left="461" w:hanging="403"/>
      </w:pPr>
      <w:r>
        <w:t>6.</w:t>
        <w:tab/>
      </w:r>
      <w:r>
        <w:rPr>
          <w:b/>
        </w:rPr>
        <w:t xml:space="preserve">Robustness checks. </w:t>
      </w:r>
      <w:r>
        <w:t>Repeat the synthesis with stricter statistical thresholds, remove one dataset at a time, compare gene and pathway results, and flag findings driven by one study, strain, or platform.</w:t>
      </w:r>
    </w:p>
    <w:p>
      <w:pPr>
        <w:pStyle w:val="Heading1"/>
      </w:pPr>
      <w:r>
        <w:t>Planned poster products</w:t>
      </w:r>
    </w:p>
    <w:p>
      <w:pPr>
        <w:ind w:left="403" w:hanging="288"/>
      </w:pPr>
      <w:r>
        <w:t>•</w:t>
        <w:tab/>
        <w:t>Dataset selection and inclusion diagram</w:t>
      </w:r>
    </w:p>
    <w:p>
      <w:pPr>
        <w:ind w:left="403" w:hanging="288"/>
      </w:pPr>
      <w:r>
        <w:t>•</w:t>
        <w:tab/>
        <w:t>Heat map of pathway direction scores</w:t>
      </w:r>
    </w:p>
    <w:p>
      <w:pPr>
        <w:ind w:left="403" w:hanging="288"/>
      </w:pPr>
      <w:r>
        <w:t>•</w:t>
        <w:tab/>
        <w:t>Iron oxygen quorum regulatory network</w:t>
      </w:r>
    </w:p>
    <w:p>
      <w:pPr>
        <w:ind w:left="403" w:hanging="288"/>
      </w:pPr>
      <w:r>
        <w:t>•</w:t>
        <w:tab/>
        <w:t>Ranked candidate markers of convergent stress responses</w:t>
      </w:r>
    </w:p>
    <w:p>
      <w:pPr>
        <w:ind w:left="403" w:hanging="288"/>
      </w:pPr>
      <w:r>
        <w:t>•</w:t>
        <w:tab/>
        <w:t>Poster ready results summary and 250 word abstract</w:t>
      </w:r>
    </w:p>
    <w:p>
      <w:pPr>
        <w:pStyle w:val="Heading1"/>
      </w:pPr>
      <w:r>
        <w:t>Limitations and claim boundaries</w:t>
      </w:r>
    </w:p>
    <w:p>
      <w:pPr>
        <w:ind w:left="403" w:hanging="288"/>
      </w:pPr>
      <w:r>
        <w:t>•</w:t>
        <w:tab/>
        <w:t>Differences in strain, medium, growth phase, technology, and analysis pipeline may create apparent disagreement.</w:t>
      </w:r>
    </w:p>
    <w:p>
      <w:pPr>
        <w:ind w:left="403" w:hanging="288"/>
      </w:pPr>
      <w:r>
        <w:t>•</w:t>
        <w:tab/>
        <w:t>Shared pathway responses would not prove that the organisms use identical molecular mechanisms.</w:t>
      </w:r>
    </w:p>
    <w:p>
      <w:pPr>
        <w:ind w:left="403" w:hanging="288"/>
      </w:pPr>
      <w:r>
        <w:t>•</w:t>
        <w:tab/>
        <w:t>The study is descriptive and hypothesis-generating rather than causal.</w:t>
      </w:r>
    </w:p>
    <w:p>
      <w:pPr>
        <w:ind w:left="403" w:hanging="288"/>
      </w:pPr>
      <w:r>
        <w:t>•</w:t>
        <w:tab/>
        <w:t>Candidate shared markers would require future experimental validation.</w:t>
      </w:r>
    </w:p>
    <w:p>
      <w:pPr>
        <w:ind w:left="403" w:hanging="288"/>
      </w:pPr>
      <w:r>
        <w:t>•</w:t>
        <w:tab/>
        <w:t>Novelty must be verified through a dedicated literature search close to submission. PROVENANCE. The primary hypothesis was revised on 8 September 2026 after inspecting GSE81364, and again on 9 September 2026 once all four contrasts were complete; the Pseudomonas findings are therefore exploratory rather than prespecified. The pathway ontology and thresholds were frozen on 8 September 2026, before any Shigella flexneri data were examined, so the cross-species comparison itself remains prespecified. For the S. flexneri iron arm the blinding was enforced in code: the assignment script loaded only identifier and annotation columns and never read the fold-change column. GENE SETS. Four of seven categories rely on curated gene sets built from gene annotation alone. Three keyword artifacts were found and corrected, all of one kind — a pattern matching text that was not gene function. The third, in which the token 'hydrogenase' matched inside 'dehydrogenase' and pulled every dehydrogenase into anaerobic respiration, was found only by independent external review after two prior audits. Sets were rebuilt as revision 2 on 9 September 2026. A completeness audit followed on 10 September 2026, asking the inverse question — whether any gene meeting a category definition had never been assigned. It found 47 in P. aeruginosa: seven pyoverdine biosynthesis genes, fecA, hitB and both exbB/exbD pairs missing from iron; ohr and msrA missing from oxidative stress; napB, napC, nosR, nosD and both narK genes filed under central metabolism by fallback rather than claimed as anaerobic respiration; and the complete psl and pel exopolysaccharide operons missing from biofilm, which had contained alginate only. S. flexneri returned zero candidates. All 47 were added as revision 3 and every direction call was recomputed: none changed. The iron result now rests on 29 significant genes rather than 22. Two structural defects produced these gaps — operon partners named incompletely in the curated lists fell through to the fallback classification, and one matrix polysaccharide stood in for three. All revisions are recorded in a single revision log. STATISTICS. Both S. flexneri sources publish only genes reaching significance, so no non-significant background exists and enrichment testing was not possible for either Shigella cell; those cells carry direction calls without p-values, unlike the Pseudomonas cells. Both Pseudomonas datasets have n = 2 per condition, and the GSE17179 contrast used a variance-shrinkage moderated t-test approximating limma rather than limma itself. A direction is reported only where three or more genes support it. CROSS-SPECIES COMPARABILITY. arcA denotes two unrelated genes in these organisms — the aerobic respiration control regulator in Enterobacteriaceae and arginine deiminase in P. aeruginosa — and is scored separately in each; mapping gene sets by name across species would have produced a false convergence in the category central to this study. Quorum sensing is not comparable at all: S. flexneri encodes no quorum-signal synthase, so its cells reflect biofilm matrix genes only. Motility is structurally empty on the Shigella side, which is non-motile with degraded flagellar genes. The secretion cell for the S. flexneri oxygen arm is unavailable rather than negative, since Vergara-Irigaray Table S1 covers chromosomal genes only and the T3SS response they report is plasmid-encoded. CONFOUNDING. PQS is simultaneously an iron chelator and the PqsR ligand, so the P. aeruginosa iron arm is not a clean iron perturbation. That HHQ, itself a PqsR ligand, produced no significant genes at the same concentration argues against a purely quorum-driven explanation, but the confound is disclosed rather than resolved. ACCESSION PROVENANCE. GSE3836 appears in the original source inventory as the PQS dataset but was never verified; a published Dictyostelium discoideum small-RNA study cites the same accession. It was not used. All PQS analysis rests on GSE81364.</w:t>
      </w:r>
    </w:p>
    <w:p>
      <w:pPr>
        <w:ind w:left="403" w:hanging="288"/>
      </w:pPr>
      <w:r>
        <w:t>•</w:t>
        <w:tab/>
        <w:t>The project must not imply that Megan Boulette participated in, supervised, or endorsed the work.</w:t>
      </w:r>
    </w:p>
    <w:p>
      <w:pPr>
        <w:pStyle w:val="Heading1"/>
      </w:pPr>
      <w:r>
        <w:t>Work completed and immediate next steps</w:t>
      </w:r>
    </w:p>
    <w:p>
      <w:pPr>
        <w:pStyle w:val="Heading2"/>
      </w:pPr>
      <w:r>
        <w:t>Completed</w:t>
      </w:r>
    </w:p>
    <w:p>
      <w:pPr>
        <w:ind w:left="403" w:hanging="288"/>
      </w:pPr>
      <w:r>
        <w:t>•</w:t>
        <w:tab/>
        <w:t>Research question and hypothesis</w:t>
      </w:r>
    </w:p>
    <w:p>
      <w:pPr>
        <w:ind w:left="403" w:hanging="288"/>
      </w:pPr>
      <w:r>
        <w:t>•</w:t>
        <w:tab/>
        <w:t>Initial source inventory</w:t>
      </w:r>
    </w:p>
    <w:p>
      <w:pPr>
        <w:ind w:left="403" w:hanging="288"/>
      </w:pPr>
      <w:r>
        <w:t>•</w:t>
        <w:tab/>
        <w:t>Dataset eligibility rules</w:t>
      </w:r>
    </w:p>
    <w:p>
      <w:pPr>
        <w:ind w:left="403" w:hanging="288"/>
      </w:pPr>
      <w:r>
        <w:t>•</w:t>
        <w:tab/>
        <w:t>Pathway ontology</w:t>
      </w:r>
    </w:p>
    <w:p>
      <w:pPr>
        <w:ind w:left="403" w:hanging="288"/>
      </w:pPr>
      <w:r>
        <w:t>•</w:t>
        <w:tab/>
        <w:t>Analysis and robustness framework</w:t>
      </w:r>
    </w:p>
    <w:p>
      <w:pPr>
        <w:ind w:left="403" w:hanging="288"/>
      </w:pPr>
      <w:r>
        <w:t>•</w:t>
        <w:tab/>
        <w:t>Executable starter notebook with a feasibility summary</w:t>
      </w:r>
    </w:p>
    <w:p>
      <w:pPr>
        <w:pStyle w:val="Heading2"/>
      </w:pPr>
      <w:r>
        <w:t>Next</w:t>
      </w:r>
    </w:p>
    <w:p>
      <w:pPr>
        <w:ind w:left="461" w:hanging="403"/>
      </w:pPr>
      <w:r>
        <w:t>1.</w:t>
        <w:tab/>
        <w:t>Download metadata and processed expression tables for the five initial sources.</w:t>
      </w:r>
    </w:p>
    <w:p>
      <w:pPr>
        <w:ind w:left="461" w:hanging="403"/>
      </w:pPr>
      <w:r>
        <w:t>2.</w:t>
        <w:tab/>
        <w:t>Build a contrast registry containing strain, condition, control, sample count, and platform.</w:t>
      </w:r>
    </w:p>
    <w:p>
      <w:pPr>
        <w:ind w:left="461" w:hanging="403"/>
      </w:pPr>
      <w:r>
        <w:t>3.</w:t>
        <w:tab/>
        <w:t>Confirm that every primary dataset contains usable identifiers and effect estimates.</w:t>
      </w:r>
    </w:p>
    <w:p>
      <w:pPr>
        <w:ind w:left="461" w:hanging="403"/>
      </w:pPr>
      <w:r>
        <w:t>4.</w:t>
        <w:tab/>
        <w:t>Freeze the pathway ontology and analysis thresholds before inspecting convergence.</w:t>
      </w:r>
    </w:p>
    <w:p>
      <w:pPr>
        <w:ind w:left="461" w:hanging="403"/>
      </w:pPr>
      <w:r>
        <w:t>5.</w:t>
        <w:tab/>
        <w:t>Reproduce one Shigella and one Pseudomonas comparison as a pilot.</w:t>
      </w:r>
    </w:p>
    <w:p>
      <w:pPr>
        <w:pStyle w:val="Heading1"/>
      </w:pPr>
      <w:r>
        <w:t>Reusable master prompt</w:t>
      </w:r>
    </w:p>
    <w:p>
      <w:r>
        <w:t>Copy the following prompt into a new AI conversation when you want to continue the project while preserving its methods and claim boundaries.</w:t>
      </w:r>
    </w:p>
    <w:p>
      <w:r>
        <w:rPr>
          <w:b/>
        </w:rPr>
        <w:t xml:space="preserve">Role. </w:t>
      </w:r>
      <w:r>
        <w:t>You are an expert microbiology research writer and computational biologist specializing in bacterial pathogenesis, transcriptomics, iron homeostasis, anaerobic regulation, quorum sensing, and reproducible secondary-data analysis.</w:t>
      </w:r>
    </w:p>
    <w:p>
      <w:r>
        <w:rPr>
          <w:b/>
        </w:rPr>
        <w:t xml:space="preserve">Task. </w:t>
      </w:r>
      <w:r>
        <w:t>Develop a rigorous, poster-sized research project inspired by Megan Boulette’s work on bacterial iron acquisition, virulence regulation, quorum sensing, metabolism, and microbial communities.</w:t>
      </w:r>
    </w:p>
    <w:p>
      <w:r>
        <w:rPr>
          <w:b/>
        </w:rPr>
        <w:t xml:space="preserve">Project title. </w:t>
      </w:r>
      <w:r>
        <w:t>The Iron–Oxygen–Quorum Triangle: A Cross-Species Computational Analysis of Virulence Regulation in Shigella flexneri and Pseudomonas aeruginosa.</w:t>
      </w:r>
    </w:p>
    <w:p>
      <w:r>
        <w:rPr>
          <w:b/>
        </w:rPr>
        <w:t xml:space="preserve">Research question. </w:t>
      </w:r>
      <w:r>
        <w:t>Do oxygen limitation, iron deprivation, and quinolone quorum-sensing signals produce a convergent virulence-associated transcriptional program in Shigella flexneri and Pseudomonas aeruginosa?</w:t>
      </w:r>
    </w:p>
    <w:p>
      <w:r>
        <w:rPr>
          <w:b/>
        </w:rPr>
        <w:t xml:space="preserve">Hypothesis. </w:t>
      </w:r>
      <w:r>
        <w:t>Oxygen limitation and iron deprivation produce overlapping changes in iron acquisition, metabolism, and virulence. The Pseudomonas aeruginosa quorum-sensing molecule PQS reproduces the iron-deprivation component of this state, primarily through iron chelation. In GSE81364 the non-chelating quinolones HHQ and HQNO produced no detectable transcriptional response, so a distinct quorum-related contribution is not currently supported.</w:t>
      </w:r>
    </w:p>
    <w:p>
      <w:pPr>
        <w:pStyle w:val="Heading2"/>
      </w:pPr>
      <w:r>
        <w:t>Initial sources for the prompt</w:t>
      </w:r>
    </w:p>
    <w:p>
      <w:pPr>
        <w:ind w:left="403" w:hanging="288"/>
      </w:pPr>
      <w:r>
        <w:t>•</w:t>
        <w:tab/>
        <w:t>Boulette and Payne 2007 on anaerobic regulation of Shigella flexneri iron acquisition through ArcA Fnr and Fur</w:t>
      </w:r>
    </w:p>
    <w:p>
      <w:pPr>
        <w:ind w:left="403" w:hanging="288"/>
      </w:pPr>
      <w:r>
        <w:t>•</w:t>
        <w:tab/>
        <w:t>ERP003817 and E ERAD 204 on Shigella flexneri anaerobiosis and FNR</w:t>
      </w:r>
    </w:p>
    <w:p>
      <w:pPr>
        <w:ind w:left="403" w:hanging="288"/>
      </w:pPr>
      <w:r>
        <w:t>•</w:t>
        <w:tab/>
        <w:t>GSE183515 on Shigella flexneri pH biofilm and virulence</w:t>
      </w:r>
    </w:p>
    <w:p>
      <w:pPr>
        <w:ind w:left="403" w:hanging="288"/>
      </w:pPr>
      <w:r>
        <w:t>•</w:t>
        <w:tab/>
        <w:t>GSE3836 on Pseudomonas aeruginosa responses to PQS (UNVERIFIED — see note)</w:t>
      </w:r>
    </w:p>
    <w:p>
      <w:pPr>
        <w:ind w:left="403" w:hanging="288"/>
      </w:pPr>
      <w:r>
        <w:t>•</w:t>
        <w:tab/>
        <w:t>GSE81364 on Pseudomonas aeruginosa responses to PQS HHQ HQNO and PqsE</w:t>
      </w:r>
    </w:p>
    <w:p>
      <w:pPr>
        <w:pStyle w:val="Heading2"/>
      </w:pPr>
      <w:r>
        <w:t>Instructions for the prompt</w:t>
      </w:r>
    </w:p>
    <w:p>
      <w:pPr>
        <w:ind w:left="461" w:hanging="403"/>
      </w:pPr>
      <w:r>
        <w:t>1.</w:t>
        <w:tab/>
        <w:t>Proceed systematically and do not invent data, sample sizes, gene functions, effect estimates, statistical results, or conclusions.</w:t>
      </w:r>
    </w:p>
    <w:p>
      <w:pPr>
        <w:ind w:left="461" w:hanging="403"/>
      </w:pPr>
      <w:r>
        <w:t>2.</w:t>
        <w:tab/>
        <w:t>Conduct a focused literature search to determine whether this exact cross-species synthesis has already been performed.</w:t>
      </w:r>
    </w:p>
    <w:p>
      <w:pPr>
        <w:ind w:left="461" w:hanging="403"/>
      </w:pPr>
      <w:r>
        <w:t>3.</w:t>
        <w:tab/>
        <w:t>Create a structured registry containing organism, strain, experimental condition, control, medium, growth phase, sample size, platform, available files, normalization method, and gene identifiers.</w:t>
      </w:r>
    </w:p>
    <w:p>
      <w:pPr>
        <w:ind w:left="461" w:hanging="403"/>
      </w:pPr>
      <w:r>
        <w:t>4.</w:t>
        <w:tab/>
        <w:t>Assess whether each dataset is suitable for quantitative reanalysis, qualitative synthesis, or mechanistic background only.</w:t>
      </w:r>
    </w:p>
    <w:p>
      <w:pPr>
        <w:ind w:left="461" w:hanging="403"/>
      </w:pPr>
      <w:r>
        <w:t>5.</w:t>
        <w:tab/>
        <w:t>Keep RNA-sequencing and microarray results separate during preprocessing.</w:t>
      </w:r>
    </w:p>
    <w:p>
      <w:pPr>
        <w:ind w:left="461" w:hanging="403"/>
      </w:pPr>
      <w:r>
        <w:t>6.</w:t>
        <w:tab/>
        <w:t>Reproduce each original study’s main findings before cross-species synthesis.</w:t>
      </w:r>
    </w:p>
    <w:p>
      <w:pPr>
        <w:ind w:left="461" w:hanging="403"/>
      </w:pPr>
      <w:r>
        <w:t>7.</w:t>
        <w:tab/>
        <w:t>Map genes to ortholog groups and to iron uptake, iron storage, oxidative stress, anaerobic respiration, central carbon metabolism, amino acid metabolism, quorum sensing, biofilm formation, motility, and secretion or virulence pathways.</w:t>
      </w:r>
    </w:p>
    <w:p>
      <w:pPr>
        <w:ind w:left="461" w:hanging="403"/>
      </w:pPr>
      <w:r>
        <w:t>8.</w:t>
        <w:tab/>
        <w:t>Calculate within-study differential-expression or enrichment results with appropriate multiple-testing correction.</w:t>
      </w:r>
    </w:p>
    <w:p>
      <w:pPr>
        <w:ind w:left="461" w:hanging="403"/>
      </w:pPr>
      <w:r>
        <w:t>9.</w:t>
        <w:tab/>
        <w:t>Produce a pathway-direction matrix showing induction, repression, or unresolved evidence for every pathway and contrast.</w:t>
      </w:r>
    </w:p>
    <w:p>
      <w:pPr>
        <w:ind w:left="461" w:hanging="403"/>
      </w:pPr>
      <w:r>
        <w:t>10.</w:t>
        <w:tab/>
        <w:t>Classify findings as convergent, context-dependent, or organism-specific.</w:t>
      </w:r>
    </w:p>
    <w:p>
      <w:pPr>
        <w:ind w:left="461" w:hanging="403"/>
      </w:pPr>
      <w:r>
        <w:t>11.</w:t>
        <w:tab/>
        <w:t>Perform threshold-sensitivity and leave-one-dataset-out analyses.</w:t>
      </w:r>
    </w:p>
    <w:p>
      <w:pPr>
        <w:ind w:left="461" w:hanging="403"/>
      </w:pPr>
      <w:r>
        <w:t>12.</w:t>
        <w:tab/>
        <w:t>Clearly distinguish descriptive associations from causal conclusions.</w:t>
      </w:r>
    </w:p>
    <w:p>
      <w:pPr>
        <w:ind w:left="461" w:hanging="403"/>
      </w:pPr>
      <w:r>
        <w:t>13.</w:t>
        <w:tab/>
        <w:t>Create a dataset-selection diagram, pathway heat map, regulatory-network figure, ranked candidate-marker table, poster-ready results summary, and 250-word structured abstract.</w:t>
      </w:r>
    </w:p>
    <w:p>
      <w:pPr>
        <w:ind w:left="461" w:hanging="403"/>
      </w:pPr>
      <w:r>
        <w:t>14.</w:t>
        <w:tab/>
        <w:t>Attach a source or analysis output to every substantive claim. Mark missing information with INFORMATION NEEDED.</w:t>
      </w:r>
    </w:p>
    <w:p>
      <w:pPr>
        <w:ind w:left="461" w:hanging="403"/>
      </w:pPr>
      <w:r>
        <w:t>15.</w:t>
        <w:tab/>
        <w:t>Do not claim that Megan Boulette participated in, supervised, or endorsed the project.</w:t>
      </w:r>
    </w:p>
    <w:p>
      <w:pPr>
        <w:ind w:left="461" w:hanging="403"/>
      </w:pPr>
      <w:r>
        <w:t>16.</w:t>
        <w:tab/>
        <w:t>Begin with the dataset registry and feasibility assessment. Do not write the final abstract until the data have been analyzed and validated.</w:t>
      </w:r>
    </w:p>
    <w:p>
      <w:pPr>
        <w:pStyle w:val="Heading1"/>
      </w:pPr>
      <w:r>
        <w:t>Source links</w:t>
      </w:r>
    </w:p>
    <w:p>
      <w:pPr>
        <w:ind w:left="403" w:hanging="288"/>
      </w:pPr>
      <w:r>
        <w:t>•</w:t>
        <w:tab/>
      </w:r>
      <w:hyperlink r:id="rId10">
        <w:r>
          <w:rPr>
            <w:color w:val="1F4E79"/>
            <w:u w:val="single"/>
          </w:rPr>
          <w:t>Megan Boulette Google Scholar profile</w:t>
        </w:r>
      </w:hyperlink>
    </w:p>
    <w:p>
      <w:pPr>
        <w:ind w:left="403" w:hanging="288"/>
      </w:pPr>
      <w:r>
        <w:t>•</w:t>
        <w:tab/>
      </w:r>
      <w:hyperlink r:id="rId11">
        <w:r>
          <w:rPr>
            <w:color w:val="1F4E79"/>
            <w:u w:val="single"/>
          </w:rPr>
          <w:t>Boulette and Payne anaerobic regulation study</w:t>
        </w:r>
      </w:hyperlink>
    </w:p>
    <w:p>
      <w:pPr>
        <w:ind w:left="403" w:hanging="288"/>
      </w:pPr>
      <w:r>
        <w:t>•</w:t>
        <w:tab/>
      </w:r>
      <w:hyperlink r:id="rId12">
        <w:r>
          <w:rPr>
            <w:color w:val="1F4E79"/>
            <w:u w:val="single"/>
          </w:rPr>
          <w:t>Vergara Irigaray and colleagues anaerobiosis and FNR RNA sequencing</w:t>
        </w:r>
      </w:hyperlink>
    </w:p>
    <w:p>
      <w:pPr>
        <w:ind w:left="403" w:hanging="288"/>
      </w:pPr>
      <w:r>
        <w:t>•</w:t>
        <w:tab/>
      </w:r>
      <w:hyperlink r:id="rId13">
        <w:r>
          <w:rPr>
            <w:color w:val="1F4E79"/>
            <w:u w:val="single"/>
          </w:rPr>
          <w:t>GSE183515 Shigella pH biofilm and virulence</w:t>
        </w:r>
      </w:hyperlink>
    </w:p>
    <w:p>
      <w:pPr>
        <w:ind w:left="403" w:hanging="288"/>
      </w:pPr>
      <w:r>
        <w:t>•</w:t>
        <w:tab/>
      </w:r>
      <w:hyperlink r:id="rId14">
        <w:r>
          <w:rPr>
            <w:color w:val="1F4E79"/>
            <w:u w:val="single"/>
          </w:rPr>
          <w:t>GSE3836 Pseudomonas response to PQS (UNVERIFIED — not used; superseded by GSE81364)</w:t>
        </w:r>
      </w:hyperlink>
    </w:p>
    <w:p>
      <w:pPr>
        <w:ind w:left="403" w:hanging="288"/>
      </w:pPr>
      <w:r>
        <w:t>•</w:t>
        <w:tab/>
      </w:r>
      <w:hyperlink r:id="rId15">
        <w:r>
          <w:rPr>
            <w:color w:val="1F4E79"/>
            <w:u w:val="single"/>
          </w:rPr>
          <w:t>GSE81364 quinolones and PqsE</w:t>
        </w:r>
      </w:hyperlink>
    </w:p>
    <w:sectPr w:rsidR="00FC693F" w:rsidRPr="0006063C" w:rsidSect="00034616">
      <w:footerReference w:type="default" r:id="rId9"/>
      <w:pgSz w:w="12240" w:h="15840"/>
      <w:pgMar w:top="1037"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Iron Oxygen Quorum Research Project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cholar.google.com/citations?user=1KuHFkMAAAAJ&amp;hl=en&amp;oi=ao" TargetMode="External"/><Relationship Id="rId11" Type="http://schemas.openxmlformats.org/officeDocument/2006/relationships/hyperlink" Target="https://journals.asm.org/doi/10.1128/jb.00621-07" TargetMode="External"/><Relationship Id="rId12" Type="http://schemas.openxmlformats.org/officeDocument/2006/relationships/hyperlink" Target="https://pmc.ncbi.nlm.nih.gov/articles/PMC4229854/" TargetMode="External"/><Relationship Id="rId13" Type="http://schemas.openxmlformats.org/officeDocument/2006/relationships/hyperlink" Target="https://www.ncbi.nlm.nih.gov/geo/query/acc.cgi?acc=GSE183515" TargetMode="External"/><Relationship Id="rId14" Type="http://schemas.openxmlformats.org/officeDocument/2006/relationships/hyperlink" Target="https://www.ncbi.nlm.nih.gov/geo/query/acc.cgi?acc=GSE3836" TargetMode="External"/><Relationship Id="rId15" Type="http://schemas.openxmlformats.org/officeDocument/2006/relationships/hyperlink" Target="https://www.ncbi.nlm.nih.gov/geo/query/acc.cgi?acc=GSE813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Iron Oxygen Quorum Research Project</dc:title>
  <dc:subject>Project summary research protocol and reusable master prompt</dc:subject>
  <dc:creator/>
  <cp:keywords>microbiology, Shigella, Pseudomonas, iron, quorum sensing, transcriptomics</cp:keywords>
  <dc:description>generated by python-docx</dc:description>
  <cp:lastModifiedBy/>
  <cp:revision>1</cp:revision>
  <dcterms:created xsi:type="dcterms:W3CDTF">2013-12-23T23:15:00Z</dcterms:created>
  <dcterms:modified xsi:type="dcterms:W3CDTF">2013-12-23T23:15:00Z</dcterms:modified>
  <cp:category/>
</cp:coreProperties>
</file>