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12"/>
        <w:gridCol w:w="12384"/>
      </w:tblGrid>
      <w:tr>
        <w:tc>
          <w:tcPr>
            <w:tcW w:type="dxa" w:w="6979"/>
          </w:tcPr>
          <w:p>
            <w:pPr>
              <w:jc w:val="center"/>
              <w:wordWrap w:val="1"/>
              <w:suppressAutoHyphens w:val="1"/>
            </w:pPr>
            <w:r>
              <w:drawing>
                <wp:inline xmlns:a="http://schemas.openxmlformats.org/drawingml/2006/main" xmlns:pic="http://schemas.openxmlformats.org/drawingml/2006/picture">
                  <wp:extent cx="658368" cy="3783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xin-logo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378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79"/>
          </w:tcPr>
          <w:p>
            <w:pPr>
              <w:spacing w:after="20"/>
              <w:jc w:val="center"/>
              <w:wordWrap w:val="1"/>
              <w:suppressAutoHyphens w:val="1"/>
            </w:pPr>
            <w:r>
              <w:rPr>
                <w:rFonts w:ascii="Times New Roman" w:hAnsi="Times New Roman" w:eastAsia="Microsoft JhengHei"/>
                <w:b/>
                <w:color w:val="000000"/>
                <w:sz w:val="32"/>
              </w:rPr>
              <w:t>GRADE SUBJECT SCHEME OF WORK 20XX-20XX</w:t>
            </w:r>
          </w:p>
        </w:tc>
      </w:tr>
    </w:tbl>
    <w:p>
      <w:pPr>
        <w:spacing w:before="0" w:after="100"/>
        <w:jc w:val="center"/>
        <w:wordWrap w:val="1"/>
        <w:suppressAutoHyphens w:val="1"/>
      </w:pPr>
      <w:r>
        <w:rPr>
          <w:rFonts w:ascii="Times New Roman" w:hAnsi="Times New Roman" w:eastAsia="Microsoft JhengHei"/>
          <w:b/>
          <w:color w:val="000000"/>
          <w:sz w:val="21"/>
        </w:rPr>
        <w:t>Course: SUBJECT-GRADE-LEVEL-CLASS | Level/​Class: Level /​ Class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"/>
        <w:gridCol w:w="605"/>
        <w:gridCol w:w="1037"/>
        <w:gridCol w:w="1080"/>
        <w:gridCol w:w="979"/>
        <w:gridCol w:w="1728"/>
        <w:gridCol w:w="576"/>
        <w:gridCol w:w="936"/>
        <w:gridCol w:w="893"/>
        <w:gridCol w:w="2376"/>
        <w:gridCol w:w="2707"/>
      </w:tblGrid>
      <w:tr>
        <w:trPr>
          <w:trHeight w:hRule="atLeast"/>
          <w:tblHeader w:val="true"/>
        </w:trPr>
        <w:tc>
          <w:tcPr>
            <w:tcW w:type="dxa" w:w="1037"/>
            <w:vAlign w:val="center"/>
            <w:shd w:fill="FFFF99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  <w:wordWrap w:val="1"/>
              <w:suppressAutoHyphens w:val="1"/>
            </w:pPr>
            <w:r>
              <w:rPr>
                <w:rFonts w:ascii="Times New Roman" w:hAnsi="Times New Roman" w:eastAsia="Microsoft JhengHei"/>
                <w:b/>
                <w:color w:val="0000FF"/>
                <w:sz w:val="15"/>
              </w:rPr>
              <w:t>Date</w:t>
            </w:r>
          </w:p>
        </w:tc>
        <w:tc>
          <w:tcPr>
            <w:tcW w:type="dxa" w:w="605"/>
            <w:vAlign w:val="center"/>
            <w:shd w:fill="FFFF99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  <w:wordWrap w:val="1"/>
              <w:suppressAutoHyphens w:val="1"/>
            </w:pPr>
            <w:r>
              <w:rPr>
                <w:rFonts w:ascii="Times New Roman" w:hAnsi="Times New Roman" w:eastAsia="Microsoft JhengHei"/>
                <w:b/>
                <w:color w:val="0000FF"/>
                <w:sz w:val="15"/>
              </w:rPr>
              <w:t>Week</w:t>
            </w:r>
          </w:p>
        </w:tc>
        <w:tc>
          <w:tcPr>
            <w:tcW w:type="dxa" w:w="1037"/>
            <w:vAlign w:val="center"/>
            <w:shd w:fill="FFFF99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  <w:wordWrap w:val="1"/>
              <w:suppressAutoHyphens w:val="1"/>
            </w:pPr>
            <w:r>
              <w:rPr>
                <w:rFonts w:ascii="Times New Roman" w:hAnsi="Times New Roman" w:eastAsia="Microsoft JhengHei"/>
                <w:b/>
                <w:color w:val="0000FF"/>
                <w:sz w:val="15"/>
              </w:rPr>
              <w:t>Module / Unit</w:t>
            </w:r>
          </w:p>
        </w:tc>
        <w:tc>
          <w:tcPr>
            <w:tcW w:type="dxa" w:w="1080"/>
            <w:vAlign w:val="center"/>
            <w:shd w:fill="FFFF99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  <w:wordWrap w:val="1"/>
              <w:suppressAutoHyphens w:val="1"/>
            </w:pPr>
            <w:r>
              <w:rPr>
                <w:rFonts w:ascii="Times New Roman" w:hAnsi="Times New Roman" w:eastAsia="Microsoft JhengHei"/>
                <w:b/>
                <w:color w:val="0000FF"/>
                <w:sz w:val="15"/>
              </w:rPr>
              <w:t>Learning Focus</w:t>
            </w:r>
          </w:p>
        </w:tc>
        <w:tc>
          <w:tcPr>
            <w:tcW w:type="dxa" w:w="979"/>
            <w:vAlign w:val="center"/>
            <w:shd w:fill="FFFF99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  <w:wordWrap w:val="1"/>
              <w:suppressAutoHyphens w:val="1"/>
            </w:pPr>
            <w:r>
              <w:rPr>
                <w:rFonts w:ascii="Times New Roman" w:hAnsi="Times New Roman" w:eastAsia="Microsoft JhengHei"/>
                <w:b/>
                <w:color w:val="0000FF"/>
                <w:sz w:val="15"/>
              </w:rPr>
              <w:t>Prior Learning</w:t>
            </w:r>
          </w:p>
        </w:tc>
        <w:tc>
          <w:tcPr>
            <w:tcW w:type="dxa" w:w="1728"/>
            <w:vAlign w:val="center"/>
            <w:shd w:fill="FFFF99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  <w:wordWrap w:val="1"/>
              <w:suppressAutoHyphens w:val="1"/>
            </w:pPr>
            <w:r>
              <w:rPr>
                <w:rFonts w:ascii="Times New Roman" w:hAnsi="Times New Roman" w:eastAsia="Microsoft JhengHei"/>
                <w:b/>
                <w:color w:val="0000FF"/>
                <w:sz w:val="15"/>
              </w:rPr>
              <w:t>Learning Objectives</w:t>
            </w:r>
          </w:p>
        </w:tc>
        <w:tc>
          <w:tcPr>
            <w:tcW w:type="dxa" w:w="576"/>
            <w:vAlign w:val="center"/>
            <w:shd w:fill="FFFF99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  <w:wordWrap w:val="1"/>
              <w:suppressAutoHyphens w:val="1"/>
            </w:pPr>
            <w:r>
              <w:rPr>
                <w:rFonts w:ascii="Times New Roman" w:hAnsi="Times New Roman" w:eastAsia="Microsoft JhengHei"/>
                <w:b/>
                <w:color w:val="0000FF"/>
                <w:sz w:val="15"/>
              </w:rPr>
              <w:t>Periods</w:t>
            </w:r>
          </w:p>
        </w:tc>
        <w:tc>
          <w:tcPr>
            <w:tcW w:type="dxa" w:w="936"/>
            <w:vAlign w:val="center"/>
            <w:shd w:fill="FFFF99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  <w:wordWrap w:val="1"/>
              <w:suppressAutoHyphens w:val="1"/>
            </w:pPr>
            <w:r>
              <w:rPr>
                <w:rFonts w:ascii="Times New Roman" w:hAnsi="Times New Roman" w:eastAsia="Microsoft JhengHei"/>
                <w:b/>
                <w:color w:val="0000FF"/>
                <w:sz w:val="15"/>
              </w:rPr>
              <w:t>Resources</w:t>
            </w:r>
          </w:p>
        </w:tc>
        <w:tc>
          <w:tcPr>
            <w:tcW w:type="dxa" w:w="893"/>
            <w:vAlign w:val="center"/>
            <w:shd w:fill="FFFF99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  <w:wordWrap w:val="1"/>
              <w:suppressAutoHyphens w:val="1"/>
            </w:pPr>
            <w:r>
              <w:rPr>
                <w:rFonts w:ascii="Times New Roman" w:hAnsi="Times New Roman" w:eastAsia="Microsoft JhengHei"/>
                <w:b/>
                <w:color w:val="0000FF"/>
                <w:sz w:val="15"/>
              </w:rPr>
              <w:t>Values / National Education</w:t>
            </w:r>
          </w:p>
        </w:tc>
        <w:tc>
          <w:tcPr>
            <w:tcW w:type="dxa" w:w="2376"/>
            <w:vAlign w:val="center"/>
            <w:shd w:fill="FFFF99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  <w:wordWrap w:val="1"/>
              <w:suppressAutoHyphens w:val="1"/>
            </w:pPr>
            <w:r>
              <w:rPr>
                <w:rFonts w:ascii="Times New Roman" w:hAnsi="Times New Roman" w:eastAsia="Microsoft JhengHei"/>
                <w:b/>
                <w:color w:val="0000FF"/>
                <w:sz w:val="15"/>
              </w:rPr>
              <w:t>Learning &amp; Teaching Activities</w:t>
            </w:r>
          </w:p>
        </w:tc>
        <w:tc>
          <w:tcPr>
            <w:tcW w:type="dxa" w:w="2707"/>
            <w:vAlign w:val="center"/>
            <w:shd w:fill="FFFF99"/>
            <w:tcMar>
              <w:top w:w="35" w:type="dxa"/>
              <w:start w:w="20" w:type="dxa"/>
              <w:bottom w:w="35" w:type="dxa"/>
              <w:end w:w="20" w:type="dxa"/>
            </w:tcMar>
          </w:tcPr>
          <w:p>
            <w:pPr>
              <w:spacing w:after="0"/>
              <w:jc w:val="center"/>
              <w:wordWrap w:val="1"/>
              <w:suppressAutoHyphens w:val="1"/>
            </w:pPr>
            <w:r>
              <w:rPr>
                <w:rFonts w:ascii="Times New Roman" w:hAnsi="Times New Roman" w:eastAsia="Microsoft JhengHei"/>
                <w:b/>
                <w:color w:val="0000FF"/>
                <w:sz w:val="15"/>
              </w:rPr>
              <w:t>Assessment / Evidence &amp; Feedback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wordWrap w:val="1"/>
              <w:suppressAutoHyphens w:val="1"/>
              <w:spacing w:before="0" w:after="0" w:line="221" w:lineRule="auto"/>
              <w:jc w:val="center"/>
            </w:pPr>
            <w:r>
              <w:rPr>
                <w:rFonts w:ascii="Times New Roman" w:hAnsi="Times New Roman" w:eastAsia="Microsoft JhengHei"/>
                <w:b w:val="0"/>
                <w:color w:val="000000"/>
                <w:sz w:val="14"/>
              </w:rPr>
              <w:t>YYYY-MM-DD to YYYY-MM-DD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wordWrap w:val="1"/>
              <w:suppressAutoHyphens w:val="1"/>
              <w:spacing w:before="0" w:after="0" w:line="221" w:lineRule="auto"/>
              <w:jc w:val="center"/>
            </w:pPr>
            <w:r>
              <w:rPr>
                <w:rFonts w:ascii="Times New Roman" w:hAnsi="Times New Roman" w:eastAsia="Microsoft JhengHei"/>
                <w:b w:val="0"/>
                <w:color w:val="000000"/>
                <w:sz w:val="14"/>
              </w:rPr>
              <w:t>Week N</w:t>
            </w:r>
          </w:p>
        </w:tc>
        <w:tc>
          <w:tcPr>
            <w:tcW w:type="dxa" w:w="1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wordWrap w:val="1"/>
              <w:suppressAutoHyphens w:val="1"/>
              <w:spacing w:before="0" w:after="0" w:line="221" w:lineRule="auto"/>
            </w:pPr>
            <w:r>
              <w:rPr>
                <w:rFonts w:ascii="Times New Roman" w:hAnsi="Times New Roman" w:eastAsia="Microsoft JhengHei"/>
                <w:b w:val="0"/>
                <w:color w:val="000000"/>
                <w:sz w:val="14"/>
              </w:rPr>
              <w:t>Unit title</w:t>
            </w:r>
          </w:p>
        </w:tc>
        <w:tc>
          <w:tcPr>
            <w:tcW w:type="dxa" w:w="108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wordWrap w:val="1"/>
              <w:suppressAutoHyphens w:val="1"/>
              <w:spacing w:before="0" w:after="0" w:line="221" w:lineRule="auto"/>
            </w:pPr>
            <w:r>
              <w:rPr>
                <w:rFonts w:ascii="Times New Roman" w:hAnsi="Times New Roman" w:eastAsia="Microsoft JhengHei"/>
                <w:b w:val="0"/>
                <w:color w:val="000000"/>
                <w:sz w:val="14"/>
              </w:rPr>
              <w:t>Specific learning focus</w:t>
            </w:r>
          </w:p>
        </w:tc>
        <w:tc>
          <w:tcPr>
            <w:tcW w:type="dxa" w:w="97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wordWrap w:val="1"/>
              <w:suppressAutoHyphens w:val="1"/>
              <w:spacing w:before="0" w:after="0" w:line="221" w:lineRule="auto"/>
            </w:pPr>
            <w:r>
              <w:rPr>
                <w:rFonts w:ascii="Times New Roman" w:hAnsi="Times New Roman" w:eastAsia="Microsoft JhengHei"/>
                <w:b w:val="0"/>
                <w:color w:val="000000"/>
                <w:sz w:val="14"/>
              </w:rPr>
              <w:t>Relevant prior learning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wordWrap w:val="1"/>
              <w:suppressAutoHyphens w:val="1"/>
              <w:spacing w:before="0" w:after="0" w:line="221" w:lineRule="auto"/>
            </w:pPr>
            <w:r>
              <w:rPr>
                <w:rFonts w:ascii="Times New Roman" w:hAnsi="Times New Roman" w:eastAsia="Microsoft JhengHei"/>
                <w:b w:val="0"/>
                <w:color w:val="000000"/>
                <w:sz w:val="14"/>
              </w:rPr>
              <w:t>Assessable learning objective</w:t>
            </w:r>
          </w:p>
        </w:tc>
        <w:tc>
          <w:tcPr>
            <w:tcW w:type="dxa" w:w="57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wordWrap w:val="1"/>
              <w:suppressAutoHyphens w:val="1"/>
              <w:spacing w:before="0" w:after="0" w:line="221" w:lineRule="auto"/>
              <w:jc w:val="center"/>
            </w:pPr>
            <w:r>
              <w:rPr>
                <w:rFonts w:ascii="Times New Roman" w:hAnsi="Times New Roman" w:eastAsia="Microsoft JhengHei"/>
                <w:b w:val="0"/>
                <w:color w:val="000000"/>
                <w:sz w:val="14"/>
              </w:rPr>
              <w:t>—</w:t>
            </w:r>
          </w:p>
        </w:tc>
        <w:tc>
          <w:tcPr>
            <w:tcW w:type="dxa" w:w="93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wordWrap w:val="1"/>
              <w:suppressAutoHyphens w:val="1"/>
              <w:spacing w:before="0" w:after="0" w:line="221" w:lineRule="auto"/>
            </w:pPr>
            <w:r>
              <w:rPr>
                <w:rFonts w:ascii="Times New Roman" w:hAnsi="Times New Roman" w:eastAsia="Microsoft JhengHei"/>
                <w:b w:val="0"/>
                <w:color w:val="000000"/>
                <w:sz w:val="14"/>
              </w:rPr>
              <w:t>Purposeful resources</w:t>
            </w:r>
          </w:p>
        </w:tc>
        <w:tc>
          <w:tcPr>
            <w:tcW w:type="dxa" w:w="89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wordWrap w:val="1"/>
              <w:suppressAutoHyphens w:val="1"/>
              <w:spacing w:before="0" w:after="0" w:line="221" w:lineRule="auto"/>
            </w:pPr>
            <w:r>
              <w:rPr>
                <w:rFonts w:ascii="Times New Roman" w:hAnsi="Times New Roman" w:eastAsia="Microsoft JhengHei"/>
                <w:b w:val="0"/>
                <w:color w:val="000000"/>
                <w:sz w:val="14"/>
              </w:rPr>
              <w:t>Concise value</w:t>
            </w:r>
          </w:p>
        </w:tc>
        <w:tc>
          <w:tcPr>
            <w:tcW w:type="dxa" w:w="237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wordWrap w:val="1"/>
              <w:suppressAutoHyphens w:val="1"/>
              <w:spacing w:before="0" w:after="0" w:line="221" w:lineRule="auto"/>
            </w:pPr>
            <w:r>
              <w:rPr>
                <w:rFonts w:ascii="Times New Roman" w:hAnsi="Times New Roman" w:eastAsia="Microsoft JhengHei"/>
                <w:b w:val="0"/>
                <w:color w:val="000000"/>
                <w:sz w:val="14"/>
              </w:rPr>
              <w:t>Subject-appropriate student action</w:t>
            </w:r>
          </w:p>
        </w:tc>
        <w:tc>
          <w:tcPr>
            <w:tcW w:type="dxa" w:w="270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wordWrap w:val="1"/>
              <w:suppressAutoHyphens w:val="1"/>
              <w:spacing w:before="0" w:after="0" w:line="221" w:lineRule="auto"/>
            </w:pPr>
            <w:r>
              <w:rPr>
                <w:rFonts w:ascii="Times New Roman" w:hAnsi="Times New Roman" w:eastAsia="Microsoft JhengHei"/>
                <w:b w:val="0"/>
                <w:color w:val="000000"/>
                <w:sz w:val="14"/>
              </w:rPr>
              <w:t>Evidence: Observable evidence Assessment for/​as/​of learning Feedback/​revision: Feedback and revision action</w:t>
            </w:r>
          </w:p>
        </w:tc>
      </w:tr>
    </w:tbl>
    <w:p>
      <w:pPr>
        <w:keepNext/>
        <w:spacing w:before="120" w:after="40"/>
        <w:wordWrap w:val="1"/>
        <w:suppressAutoHyphens w:val="1"/>
      </w:pPr>
      <w:r>
        <w:rPr>
          <w:rFonts w:ascii="Times New Roman" w:hAnsi="Times New Roman" w:eastAsia="Microsoft JhengHei"/>
          <w:b/>
          <w:color w:val="000000"/>
          <w:sz w:val="18"/>
        </w:rPr>
        <w:t>Remarks: Major Concerns (2025–2028)</w:t>
      </w:r>
    </w:p>
    <w:p>
      <w:pPr>
        <w:keepNext/>
        <w:keepLines/>
        <w:spacing w:before="0" w:after="20"/>
        <w:wordWrap w:val="1"/>
        <w:suppressAutoHyphens w:val="1"/>
      </w:pPr>
      <w:r>
        <w:rPr>
          <w:rFonts w:ascii="Times New Roman" w:hAnsi="Times New Roman" w:eastAsia="Microsoft JhengHei"/>
          <w:b w:val="0"/>
          <w:color w:val="000000"/>
          <w:sz w:val="15"/>
        </w:rPr>
        <w:t>M1: To enhance global engagement and innovation by deepening partnerships and integrating future-ready, AI-driven teaching practices, thereby building a smart campus and nurturing AI-literate students.</w:t>
      </w:r>
    </w:p>
    <w:p>
      <w:pPr>
        <w:keepNext/>
        <w:keepLines/>
        <w:spacing w:before="0" w:after="20"/>
        <w:wordWrap w:val="1"/>
        <w:suppressAutoHyphens w:val="1"/>
      </w:pPr>
      <w:r>
        <w:rPr>
          <w:rFonts w:ascii="Times New Roman" w:hAnsi="Times New Roman" w:eastAsia="Microsoft JhengHei"/>
          <w:b w:val="0"/>
          <w:color w:val="000000"/>
          <w:sz w:val="15"/>
        </w:rPr>
        <w:t>M2: To promote high quality teaching and academic excellence through research-informed practice, interdisciplinary collaboration, and continuous pedagogical innovation.</w:t>
      </w:r>
    </w:p>
    <w:p>
      <w:pPr>
        <w:keepNext/>
        <w:keepLines/>
        <w:spacing w:before="0" w:after="20"/>
        <w:wordWrap w:val="1"/>
        <w:suppressAutoHyphens w:val="1"/>
      </w:pPr>
      <w:r>
        <w:rPr>
          <w:rFonts w:ascii="Times New Roman" w:hAnsi="Times New Roman" w:eastAsia="Microsoft JhengHei"/>
          <w:b w:val="0"/>
          <w:color w:val="000000"/>
          <w:sz w:val="15"/>
        </w:rPr>
        <w:t>M3: To foster students’ holistic development and global outlook by deepening Values Education, developing ATL skills and expanding meaningful leadership opportunities.</w:t>
      </w:r>
    </w:p>
    <w:p>
      <w:pPr>
        <w:keepLines/>
        <w:spacing w:before="20" w:after="0"/>
        <w:wordWrap w:val="1"/>
        <w:suppressAutoHyphens w:val="1"/>
      </w:pPr>
      <w:r>
        <w:rPr>
          <w:rFonts w:ascii="Times New Roman" w:hAnsi="Times New Roman" w:eastAsia="Microsoft JhengHei"/>
          <w:b w:val="0"/>
          <w:i/>
          <w:color w:val="000000"/>
          <w:sz w:val="15"/>
        </w:rPr>
        <w:t>Planning note: Cite M1–M3 in Learning Objectives only where a direct, evidence-based alignment exists; they are not weekly labels.</w:t>
      </w:r>
    </w:p>
    <w:sectPr>
      <w:footerReference w:type="default" r:id="rId9"/>
      <w:pgSz w:w="16838" w:h="11906" w:orient="landscape"/>
      <w:pgMar w:top="709" w:right="1440" w:bottom="709" w:left="1440" w:header="283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wordWrap w:val="1"/>
      <w:suppressAutoHyphens w:val="1"/>
    </w:pPr>
    <w:r>
      <w:rPr>
        <w:rFonts w:ascii="Times New Roman" w:hAnsi="Times New Roman" w:eastAsia="Microsoft JhengHei"/>
        <w:b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Microsoft JhengHe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SUBJECT SCHEME OF WORK 20XX-20XX</dc:title>
  <dc:subject>Scheme of Work</dc:subject>
  <dc:creator>MINXIN School</dc:creator>
  <cp:keywords>course_id=SUBJECT-GRADE-LEVEL-CLASS;source_hash=TEMPLATE</cp:keywords>
  <dc:description>Generated from the MINXIN subject SOW planner single source of truth.</dc:description>
  <cp:lastModifiedBy>MINXIN School</cp:lastModifiedBy>
  <cp:revision>1</cp:revision>
  <dcterms:created xsi:type="dcterms:W3CDTF">2013-12-23T23:15:00Z</dcterms:created>
  <dcterms:modified xsi:type="dcterms:W3CDTF">2013-12-23T23:15:00Z</dcterms:modified>
  <cp:category/>
</cp:coreProperties>
</file>