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12"/>
        <w:gridCol w:w="12384"/>
      </w:tblGrid>
      <w:tr>
        <w:tc>
          <w:tcPr>
            <w:tcW w:type="dxa" w:w="6979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58368" cy="37837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inxin-logo.jpe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3783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79"/>
          </w:tcPr>
          <w:p>
            <w:pPr>
              <w:spacing w:after="20"/>
              <w:jc w:val="center"/>
            </w:pPr>
            <w:r>
              <w:rPr>
                <w:rFonts w:ascii="Times New Roman" w:hAnsi="Times New Roman" w:eastAsia="Microsoft JhengHei"/>
                <w:b/>
                <w:color w:val="000000"/>
                <w:sz w:val="32"/>
              </w:rPr>
              <w:t>GRADE SUBJECT SCHEME OF WORK 20XX-20XX</w:t>
            </w:r>
          </w:p>
        </w:tc>
      </w:tr>
    </w:tbl>
    <w:p>
      <w:pPr>
        <w:spacing w:before="0" w:after="100"/>
        <w:jc w:val="center"/>
      </w:pPr>
      <w:r>
        <w:rPr>
          <w:rFonts w:ascii="Times New Roman" w:hAnsi="Times New Roman" w:eastAsia="Microsoft JhengHei"/>
          <w:b/>
          <w:color w:val="000000"/>
          <w:sz w:val="21"/>
        </w:rPr>
        <w:t>Course: SUBJECT-GRADE-LEVEL-CLASS | Level/Class: Level / Class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7"/>
        <w:gridCol w:w="605"/>
        <w:gridCol w:w="1037"/>
        <w:gridCol w:w="1080"/>
        <w:gridCol w:w="979"/>
        <w:gridCol w:w="1728"/>
        <w:gridCol w:w="576"/>
        <w:gridCol w:w="936"/>
        <w:gridCol w:w="893"/>
        <w:gridCol w:w="2376"/>
        <w:gridCol w:w="2707"/>
      </w:tblGrid>
      <w:tr>
        <w:trPr>
          <w:trHeight w:hRule="atLeast"/>
          <w:tblHeader w:val="true"/>
        </w:trPr>
        <w:tc>
          <w:tcPr>
            <w:tcW w:type="dxa" w:w="1037"/>
            <w:vAlign w:val="center"/>
            <w:shd w:fill="FFFF99"/>
            <w:tcMar>
              <w:top w:w="35" w:type="dxa"/>
              <w:start w:w="20" w:type="dxa"/>
              <w:bottom w:w="35" w:type="dxa"/>
              <w:end w:w="2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Microsoft JhengHei"/>
                <w:b/>
                <w:color w:val="0000FF"/>
                <w:sz w:val="15"/>
              </w:rPr>
              <w:t>Date</w:t>
            </w:r>
          </w:p>
        </w:tc>
        <w:tc>
          <w:tcPr>
            <w:tcW w:type="dxa" w:w="605"/>
            <w:vAlign w:val="center"/>
            <w:shd w:fill="FFFF99"/>
            <w:tcMar>
              <w:top w:w="35" w:type="dxa"/>
              <w:start w:w="20" w:type="dxa"/>
              <w:bottom w:w="35" w:type="dxa"/>
              <w:end w:w="2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Microsoft JhengHei"/>
                <w:b/>
                <w:color w:val="0000FF"/>
                <w:sz w:val="15"/>
              </w:rPr>
              <w:t>Week</w:t>
            </w:r>
          </w:p>
        </w:tc>
        <w:tc>
          <w:tcPr>
            <w:tcW w:type="dxa" w:w="1037"/>
            <w:vAlign w:val="center"/>
            <w:shd w:fill="FFFF99"/>
            <w:tcMar>
              <w:top w:w="35" w:type="dxa"/>
              <w:start w:w="20" w:type="dxa"/>
              <w:bottom w:w="35" w:type="dxa"/>
              <w:end w:w="2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Microsoft JhengHei"/>
                <w:b/>
                <w:color w:val="0000FF"/>
                <w:sz w:val="15"/>
              </w:rPr>
              <w:t>Module / Unit</w:t>
            </w:r>
          </w:p>
        </w:tc>
        <w:tc>
          <w:tcPr>
            <w:tcW w:type="dxa" w:w="1080"/>
            <w:vAlign w:val="center"/>
            <w:shd w:fill="FFFF99"/>
            <w:tcMar>
              <w:top w:w="35" w:type="dxa"/>
              <w:start w:w="20" w:type="dxa"/>
              <w:bottom w:w="35" w:type="dxa"/>
              <w:end w:w="2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Microsoft JhengHei"/>
                <w:b/>
                <w:color w:val="0000FF"/>
                <w:sz w:val="15"/>
              </w:rPr>
              <w:t>Learning Focus</w:t>
            </w:r>
          </w:p>
        </w:tc>
        <w:tc>
          <w:tcPr>
            <w:tcW w:type="dxa" w:w="979"/>
            <w:vAlign w:val="center"/>
            <w:shd w:fill="FFFF99"/>
            <w:tcMar>
              <w:top w:w="35" w:type="dxa"/>
              <w:start w:w="20" w:type="dxa"/>
              <w:bottom w:w="35" w:type="dxa"/>
              <w:end w:w="2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Microsoft JhengHei"/>
                <w:b/>
                <w:color w:val="0000FF"/>
                <w:sz w:val="15"/>
              </w:rPr>
              <w:t>Prior Learning</w:t>
            </w:r>
          </w:p>
        </w:tc>
        <w:tc>
          <w:tcPr>
            <w:tcW w:type="dxa" w:w="1728"/>
            <w:vAlign w:val="center"/>
            <w:shd w:fill="FFFF99"/>
            <w:tcMar>
              <w:top w:w="35" w:type="dxa"/>
              <w:start w:w="20" w:type="dxa"/>
              <w:bottom w:w="35" w:type="dxa"/>
              <w:end w:w="2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Microsoft JhengHei"/>
                <w:b/>
                <w:color w:val="0000FF"/>
                <w:sz w:val="15"/>
              </w:rPr>
              <w:t>Learning Objectives</w:t>
            </w:r>
          </w:p>
        </w:tc>
        <w:tc>
          <w:tcPr>
            <w:tcW w:type="dxa" w:w="576"/>
            <w:vAlign w:val="center"/>
            <w:shd w:fill="FFFF99"/>
            <w:tcMar>
              <w:top w:w="35" w:type="dxa"/>
              <w:start w:w="20" w:type="dxa"/>
              <w:bottom w:w="35" w:type="dxa"/>
              <w:end w:w="2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Microsoft JhengHei"/>
                <w:b/>
                <w:color w:val="0000FF"/>
                <w:sz w:val="15"/>
              </w:rPr>
              <w:t>Periods</w:t>
            </w:r>
          </w:p>
        </w:tc>
        <w:tc>
          <w:tcPr>
            <w:tcW w:type="dxa" w:w="936"/>
            <w:vAlign w:val="center"/>
            <w:shd w:fill="FFFF99"/>
            <w:tcMar>
              <w:top w:w="35" w:type="dxa"/>
              <w:start w:w="20" w:type="dxa"/>
              <w:bottom w:w="35" w:type="dxa"/>
              <w:end w:w="2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Microsoft JhengHei"/>
                <w:b/>
                <w:color w:val="0000FF"/>
                <w:sz w:val="15"/>
              </w:rPr>
              <w:t>Resources</w:t>
            </w:r>
          </w:p>
        </w:tc>
        <w:tc>
          <w:tcPr>
            <w:tcW w:type="dxa" w:w="893"/>
            <w:vAlign w:val="center"/>
            <w:shd w:fill="FFFF99"/>
            <w:tcMar>
              <w:top w:w="35" w:type="dxa"/>
              <w:start w:w="20" w:type="dxa"/>
              <w:bottom w:w="35" w:type="dxa"/>
              <w:end w:w="2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Microsoft JhengHei"/>
                <w:b/>
                <w:color w:val="0000FF"/>
                <w:sz w:val="15"/>
              </w:rPr>
              <w:t>Values / National Education</w:t>
            </w:r>
          </w:p>
        </w:tc>
        <w:tc>
          <w:tcPr>
            <w:tcW w:type="dxa" w:w="2376"/>
            <w:vAlign w:val="center"/>
            <w:shd w:fill="FFFF99"/>
            <w:tcMar>
              <w:top w:w="35" w:type="dxa"/>
              <w:start w:w="20" w:type="dxa"/>
              <w:bottom w:w="35" w:type="dxa"/>
              <w:end w:w="2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Microsoft JhengHei"/>
                <w:b/>
                <w:color w:val="0000FF"/>
                <w:sz w:val="15"/>
              </w:rPr>
              <w:t>Learning &amp; Teaching Activities</w:t>
            </w:r>
          </w:p>
        </w:tc>
        <w:tc>
          <w:tcPr>
            <w:tcW w:type="dxa" w:w="2707"/>
            <w:vAlign w:val="center"/>
            <w:shd w:fill="FFFF99"/>
            <w:tcMar>
              <w:top w:w="35" w:type="dxa"/>
              <w:start w:w="20" w:type="dxa"/>
              <w:bottom w:w="35" w:type="dxa"/>
              <w:end w:w="2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Microsoft JhengHei"/>
                <w:b/>
                <w:color w:val="0000FF"/>
                <w:sz w:val="15"/>
              </w:rPr>
              <w:t>Assessment / Evidence &amp; Feedback</w:t>
            </w:r>
          </w:p>
        </w:tc>
      </w:tr>
      <w:tr>
        <w:trPr>
          <w:cantSplit/>
        </w:trPr>
        <w:tc>
          <w:tcPr>
            <w:tcW w:type="dxa" w:w="1037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21" w:lineRule="auto"/>
              <w:jc w:val="center"/>
            </w:pPr>
            <w:r>
              <w:rPr>
                <w:rFonts w:ascii="Times New Roman" w:hAnsi="Times New Roman" w:eastAsia="Microsoft JhengHei"/>
                <w:b w:val="0"/>
                <w:color w:val="000000"/>
                <w:sz w:val="14"/>
              </w:rPr>
              <w:t>YYYY-MM-DD to YYYY-MM-DD</w:t>
            </w:r>
          </w:p>
        </w:tc>
        <w:tc>
          <w:tcPr>
            <w:tcW w:type="dxa" w:w="605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21" w:lineRule="auto"/>
              <w:jc w:val="center"/>
            </w:pPr>
            <w:r>
              <w:rPr>
                <w:rFonts w:ascii="Times New Roman" w:hAnsi="Times New Roman" w:eastAsia="Microsoft JhengHei"/>
                <w:b w:val="0"/>
                <w:color w:val="000000"/>
                <w:sz w:val="14"/>
              </w:rPr>
              <w:t>Week N</w:t>
            </w:r>
          </w:p>
        </w:tc>
        <w:tc>
          <w:tcPr>
            <w:tcW w:type="dxa" w:w="1037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21" w:lineRule="auto"/>
            </w:pPr>
            <w:r>
              <w:rPr>
                <w:rFonts w:ascii="Times New Roman" w:hAnsi="Times New Roman" w:eastAsia="Microsoft JhengHei"/>
                <w:b w:val="0"/>
                <w:color w:val="000000"/>
                <w:sz w:val="14"/>
              </w:rPr>
              <w:t>Unit title</w:t>
            </w:r>
          </w:p>
        </w:tc>
        <w:tc>
          <w:tcPr>
            <w:tcW w:type="dxa" w:w="108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21" w:lineRule="auto"/>
            </w:pPr>
            <w:r>
              <w:rPr>
                <w:rFonts w:ascii="Times New Roman" w:hAnsi="Times New Roman" w:eastAsia="Microsoft JhengHei"/>
                <w:b w:val="0"/>
                <w:color w:val="000000"/>
                <w:sz w:val="14"/>
              </w:rPr>
              <w:t>Specific learning focus</w:t>
            </w:r>
          </w:p>
        </w:tc>
        <w:tc>
          <w:tcPr>
            <w:tcW w:type="dxa" w:w="979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21" w:lineRule="auto"/>
            </w:pPr>
            <w:r>
              <w:rPr>
                <w:rFonts w:ascii="Times New Roman" w:hAnsi="Times New Roman" w:eastAsia="Microsoft JhengHei"/>
                <w:b w:val="0"/>
                <w:color w:val="000000"/>
                <w:sz w:val="14"/>
              </w:rPr>
              <w:t>Relevant prior learning</w:t>
            </w:r>
          </w:p>
        </w:tc>
        <w:tc>
          <w:tcPr>
            <w:tcW w:type="dxa" w:w="17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21" w:lineRule="auto"/>
            </w:pPr>
            <w:r>
              <w:rPr>
                <w:rFonts w:ascii="Times New Roman" w:hAnsi="Times New Roman" w:eastAsia="Microsoft JhengHei"/>
                <w:b w:val="0"/>
                <w:color w:val="000000"/>
                <w:sz w:val="14"/>
              </w:rPr>
              <w:t>Assessable learning objective</w:t>
            </w:r>
          </w:p>
        </w:tc>
        <w:tc>
          <w:tcPr>
            <w:tcW w:type="dxa" w:w="57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21" w:lineRule="auto"/>
              <w:jc w:val="center"/>
            </w:pPr>
            <w:r>
              <w:rPr>
                <w:rFonts w:ascii="Times New Roman" w:hAnsi="Times New Roman" w:eastAsia="Microsoft JhengHei"/>
                <w:b w:val="0"/>
                <w:color w:val="000000"/>
                <w:sz w:val="14"/>
              </w:rPr>
              <w:t>—</w:t>
            </w:r>
          </w:p>
        </w:tc>
        <w:tc>
          <w:tcPr>
            <w:tcW w:type="dxa" w:w="93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21" w:lineRule="auto"/>
            </w:pPr>
            <w:r>
              <w:rPr>
                <w:rFonts w:ascii="Times New Roman" w:hAnsi="Times New Roman" w:eastAsia="Microsoft JhengHei"/>
                <w:b w:val="0"/>
                <w:color w:val="000000"/>
                <w:sz w:val="14"/>
              </w:rPr>
              <w:t>Purposeful resources</w:t>
            </w:r>
          </w:p>
        </w:tc>
        <w:tc>
          <w:tcPr>
            <w:tcW w:type="dxa" w:w="89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21" w:lineRule="auto"/>
            </w:pPr>
            <w:r>
              <w:rPr>
                <w:rFonts w:ascii="Times New Roman" w:hAnsi="Times New Roman" w:eastAsia="Microsoft JhengHei"/>
                <w:b w:val="0"/>
                <w:color w:val="000000"/>
                <w:sz w:val="14"/>
              </w:rPr>
              <w:t>Concise value</w:t>
            </w:r>
          </w:p>
        </w:tc>
        <w:tc>
          <w:tcPr>
            <w:tcW w:type="dxa" w:w="237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21" w:lineRule="auto"/>
            </w:pPr>
            <w:r>
              <w:rPr>
                <w:rFonts w:ascii="Times New Roman" w:hAnsi="Times New Roman" w:eastAsia="Microsoft JhengHei"/>
                <w:b w:val="0"/>
                <w:color w:val="000000"/>
                <w:sz w:val="14"/>
              </w:rPr>
              <w:t>Subject-appropriate student action</w:t>
            </w:r>
          </w:p>
        </w:tc>
        <w:tc>
          <w:tcPr>
            <w:tcW w:type="dxa" w:w="2707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21" w:lineRule="auto"/>
            </w:pPr>
            <w:r>
              <w:rPr>
                <w:rFonts w:ascii="Times New Roman" w:hAnsi="Times New Roman" w:eastAsia="Microsoft JhengHei"/>
                <w:b w:val="0"/>
                <w:color w:val="000000"/>
                <w:sz w:val="14"/>
              </w:rPr>
              <w:t>Evidence: Observable evidence</w:t>
              <w:br/>
              <w:t>Assessment for/as/of learning</w:t>
              <w:br/>
              <w:t>Feedback/revision: Feedback and revision action</w:t>
            </w:r>
          </w:p>
        </w:tc>
      </w:tr>
    </w:tbl>
    <w:sectPr>
      <w:footerReference w:type="default" r:id="rId9"/>
      <w:pgSz w:w="16838" w:h="11906" w:orient="landscape"/>
      <w:pgMar w:top="709" w:right="1440" w:bottom="709" w:left="1440" w:header="283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 w:eastAsia="Microsoft JhengHei"/>
        <w:b w:val="0"/>
        <w:color w:val="000000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Microsoft JhengHei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GRADE SUBJECT SCHEME OF WORK 20XX-20XX</dc:title>
  <dc:subject>Scheme of Work</dc:subject>
  <dc:creator>MINXIN School</dc:creator>
  <cp:keywords>course_id=SUBJECT-GRADE-LEVEL-CLASS;source_hash=TEMPLATE</cp:keywords>
  <dc:description>Generated from the MINXIN subject SOW planner single source of truth.</dc:description>
  <cp:lastModifiedBy>MINXIN School</cp:lastModifiedBy>
  <cp:revision>1</cp:revision>
  <dcterms:created xsi:type="dcterms:W3CDTF">2013-12-23T23:15:00Z</dcterms:created>
  <dcterms:modified xsi:type="dcterms:W3CDTF">2013-12-23T23:15:00Z</dcterms:modified>
  <cp:category/>
</cp:coreProperties>
</file>