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80" w:line="264" w:lineRule="auto"/>
      </w:pPr>
      <w:r>
        <w:rPr>
          <w:rFonts w:ascii="Arial Unicode MS" w:hAnsi="Arial Unicode MS" w:eastAsia="Arial Unicode MS"/>
          <w:b/>
          <w:color w:val="2E74B5"/>
          <w:sz w:val="20"/>
          <w:lang w:val="zh-CN" w:eastAsia="zh-CN"/>
        </w:rPr>
        <w:t>PROJECT BRIEF</w:t>
      </w:r>
    </w:p>
    <w:p>
      <w:pPr>
        <w:keepNext/>
        <w:spacing w:before="0" w:after="80" w:line="264" w:lineRule="auto"/>
      </w:pPr>
      <w:r>
        <w:rPr>
          <w:rFonts w:ascii="Arial Unicode MS" w:hAnsi="Arial Unicode MS" w:eastAsia="Arial Unicode MS"/>
          <w:b/>
          <w:color w:val="000000"/>
          <w:sz w:val="46"/>
          <w:lang w:val="zh-CN" w:eastAsia="zh-CN"/>
        </w:rPr>
        <w:t>WMS・自动补充课题再整理总结</w:t>
      </w:r>
    </w:p>
    <w:p>
      <w:pPr>
        <w:keepNext/>
        <w:spacing w:before="0" w:after="320" w:line="264" w:lineRule="auto"/>
      </w:pPr>
      <w:r>
        <w:rPr>
          <w:rFonts w:ascii="Arial Unicode MS" w:hAnsi="Arial Unicode MS" w:eastAsia="Arial Unicode MS"/>
          <w:color w:val="667085"/>
          <w:sz w:val="26"/>
          <w:lang w:val="zh-CN" w:eastAsia="zh-CN"/>
        </w:rPr>
        <w:t>基于最新 QA 课题管理表的设计与开发判断</w:t>
      </w:r>
    </w:p>
    <w:p>
      <w:pPr>
        <w:keepNext w:val="0"/>
        <w:spacing w:before="0" w:after="60" w:line="264" w:lineRule="auto"/>
      </w:pPr>
      <w:r>
        <w:rPr>
          <w:rFonts w:ascii="Arial Unicode MS" w:hAnsi="Arial Unicode MS" w:eastAsia="Arial Unicode MS"/>
          <w:b/>
          <w:color w:val="1F4D78"/>
          <w:lang w:val="zh-CN" w:eastAsia="zh-CN"/>
        </w:rPr>
        <w:t xml:space="preserve">日期: </w:t>
      </w:r>
      <w:r>
        <w:rPr>
          <w:rFonts w:ascii="Arial Unicode MS" w:hAnsi="Arial Unicode MS" w:eastAsia="Arial Unicode MS"/>
          <w:color w:val="1F2933"/>
          <w:lang w:val="zh-CN" w:eastAsia="zh-CN"/>
        </w:rPr>
        <w:t>2026-08-25</w:t>
      </w:r>
    </w:p>
    <w:p>
      <w:pPr>
        <w:keepNext w:val="0"/>
        <w:spacing w:before="0" w:after="60" w:line="264" w:lineRule="auto"/>
      </w:pPr>
      <w:r>
        <w:rPr>
          <w:rFonts w:ascii="Arial Unicode MS" w:hAnsi="Arial Unicode MS" w:eastAsia="Arial Unicode MS"/>
          <w:b/>
          <w:color w:val="1F4D78"/>
          <w:lang w:val="zh-CN" w:eastAsia="zh-CN"/>
        </w:rPr>
        <w:t xml:space="preserve">对象: </w:t>
      </w:r>
      <w:r>
        <w:rPr>
          <w:rFonts w:ascii="Arial Unicode MS" w:hAnsi="Arial Unicode MS" w:eastAsia="Arial Unicode MS"/>
          <w:color w:val="1F2933"/>
          <w:lang w:val="zh-CN" w:eastAsia="zh-CN"/>
        </w:rPr>
        <w:t>WMS（Hitluster）／自动补充（Sinops）</w:t>
      </w:r>
    </w:p>
    <w:p>
      <w:pPr>
        <w:keepNext w:val="0"/>
        <w:spacing w:before="0" w:after="60" w:line="264" w:lineRule="auto"/>
      </w:pPr>
      <w:r>
        <w:rPr>
          <w:rFonts w:ascii="Arial Unicode MS" w:hAnsi="Arial Unicode MS" w:eastAsia="Arial Unicode MS"/>
          <w:b/>
          <w:color w:val="1F4D78"/>
          <w:lang w:val="zh-CN" w:eastAsia="zh-CN"/>
        </w:rPr>
        <w:t xml:space="preserve">目的: </w:t>
      </w:r>
      <w:r>
        <w:rPr>
          <w:rFonts w:ascii="Arial Unicode MS" w:hAnsi="Arial Unicode MS" w:eastAsia="Arial Unicode MS"/>
          <w:color w:val="1F2933"/>
          <w:lang w:val="zh-CN" w:eastAsia="zh-CN"/>
        </w:rPr>
        <w:t>明确可进入设计开发的范围、阻塞项及跨系统依赖</w:t>
      </w:r>
    </w:p>
    <w:p>
      <w:pPr>
        <w:keepNext w:val="0"/>
        <w:spacing w:before="40" w:after="240" w:line="276" w:lineRule="auto"/>
        <w:ind w:left="173"/>
        <w:shd w:fill="E8EEF5"/>
        <w:pBdr>
          <w:left w:val="single" w:sz="18" w:space="8" w:color="1F4D78"/>
        </w:pBdr>
      </w:pPr>
      <w:r>
        <w:rPr>
          <w:rFonts w:ascii="Arial Unicode MS" w:hAnsi="Arial Unicode MS" w:eastAsia="Arial Unicode MS"/>
          <w:b/>
          <w:color w:val="1F4D78"/>
          <w:lang w:val="zh-CN" w:eastAsia="zh-CN"/>
        </w:rPr>
        <w:t xml:space="preserve">总体判断  </w:t>
      </w:r>
      <w:r>
        <w:rPr>
          <w:rFonts w:ascii="Arial Unicode MS" w:hAnsi="Arial Unicode MS" w:eastAsia="Arial Unicode MS"/>
          <w:color w:val="1F2933"/>
          <w:lang w:val="zh-CN" w:eastAsia="zh-CN"/>
        </w:rPr>
        <w:t>Sinops 可按接口分批进入详细设计和开发；WMS 仅适合启动已闭合部分，暂不建议整体开工。</w:t>
      </w:r>
    </w:p>
    <w:p>
      <w:pPr>
        <w:pStyle w:val="Heading1"/>
        <w:keepNext/>
        <w:spacing w:before="320" w:after="160" w:line="240" w:lineRule="auto"/>
      </w:pPr>
      <w:r>
        <w:rPr>
          <w:rFonts w:ascii="Arial Unicode MS" w:hAnsi="Arial Unicode MS" w:eastAsia="Arial Unicode MS"/>
          <w:b/>
          <w:color w:val="2E74B5"/>
          <w:sz w:val="32"/>
          <w:lang w:val="zh-CN" w:eastAsia="zh-CN"/>
        </w:rPr>
        <w:t>1. QA 状态概览</w:t>
      </w:r>
    </w:p>
    <w:tbl>
      <w:tblPr>
        <w:tblStyle w:val="TableGrid"/>
        <w:tblW w:type="dxa" w:w="9360"/>
        <w:tblLayout w:type="fixed"/>
        <w:tblLook w:firstColumn="1" w:firstRow="1" w:lastColumn="0" w:lastRow="0" w:noHBand="0" w:noVBand="1" w:val="04A0"/>
        <w:jc w:val="left"/>
        <w:tblInd w:w="120" w:type="dxa"/>
      </w:tblPr>
      <w:tblGrid>
        <w:gridCol w:w="1600"/>
        <w:gridCol w:w="1500"/>
        <w:gridCol w:w="2100"/>
        <w:gridCol w:w="4160"/>
      </w:tblGrid>
      <w:tr>
        <w:tc>
          <w:tcPr>
            <w:tcW w:type="dxa" w:w="160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zh-CN" w:eastAsia="zh-CN"/>
              </w:rPr>
              <w:t>课题</w:t>
            </w:r>
          </w:p>
        </w:tc>
        <w:tc>
          <w:tcPr>
            <w:tcW w:type="dxa" w:w="150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zh-CN" w:eastAsia="zh-CN"/>
              </w:rPr>
              <w:t>QA总数</w:t>
            </w:r>
          </w:p>
        </w:tc>
        <w:tc>
          <w:tcPr>
            <w:tcW w:type="dxa" w:w="210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zh-CN" w:eastAsia="zh-CN"/>
              </w:rPr>
              <w:t>状态</w:t>
            </w:r>
          </w:p>
        </w:tc>
        <w:tc>
          <w:tcPr>
            <w:tcW w:type="dxa" w:w="416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zh-CN" w:eastAsia="zh-CN"/>
              </w:rPr>
              <w:t>设计开发判断</w:t>
            </w:r>
          </w:p>
        </w:tc>
      </w:tr>
      <w:tr>
        <w:tc>
          <w:tcPr>
            <w:tcW w:type="dxa" w:w="16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WMS</w:t>
            </w:r>
          </w:p>
        </w:tc>
        <w:tc>
          <w:tcPr>
            <w:tcW w:type="dxa" w:w="15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63</w:t>
            </w:r>
          </w:p>
        </w:tc>
        <w:tc>
          <w:tcPr>
            <w:tcW w:type="dxa" w:w="21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完了42；非完了21</w:t>
            </w:r>
          </w:p>
        </w:tc>
        <w:tc>
          <w:tcPr>
            <w:tcW w:type="dxa" w:w="4160"/>
            <w:tcMar>
              <w:top w:w="80" w:type="dxa"/>
              <w:start w:w="120" w:type="dxa"/>
              <w:bottom w:w="80" w:type="dxa"/>
              <w:end w:w="120" w:type="dxa"/>
            </w:tcMar>
            <w:vAlign w:val="center"/>
          </w:tcPr>
          <w:p>
            <w:pPr>
              <w:keepNext w:val="0"/>
              <w:spacing w:before="0" w:after="0" w:line="252" w:lineRule="auto"/>
              <w:jc w:val="left"/>
            </w:pPr>
            <w:r>
              <w:rPr>
                <w:rFonts w:ascii="Arial Unicode MS" w:hAnsi="Arial Unicode MS" w:eastAsia="Arial Unicode MS"/>
                <w:color w:val="1F2933"/>
                <w:sz w:val="20"/>
                <w:lang w:val="zh-CN" w:eastAsia="zh-CN"/>
              </w:rPr>
              <w:t>部分设计 GO；整体开发暂缓</w:t>
            </w:r>
          </w:p>
        </w:tc>
      </w:tr>
      <w:tr>
        <w:tc>
          <w:tcPr>
            <w:tcW w:type="dxa" w:w="16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Sinops</w:t>
            </w:r>
          </w:p>
        </w:tc>
        <w:tc>
          <w:tcPr>
            <w:tcW w:type="dxa" w:w="15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81</w:t>
            </w:r>
          </w:p>
        </w:tc>
        <w:tc>
          <w:tcPr>
            <w:tcW w:type="dxa" w:w="21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zh-CN" w:eastAsia="zh-CN"/>
              </w:rPr>
              <w:t>完了66；非完了15</w:t>
            </w:r>
          </w:p>
        </w:tc>
        <w:tc>
          <w:tcPr>
            <w:tcW w:type="dxa" w:w="4160"/>
            <w:tcMar>
              <w:top w:w="80" w:type="dxa"/>
              <w:start w:w="120" w:type="dxa"/>
              <w:bottom w:w="80" w:type="dxa"/>
              <w:end w:w="120" w:type="dxa"/>
            </w:tcMar>
            <w:vAlign w:val="center"/>
          </w:tcPr>
          <w:p>
            <w:pPr>
              <w:keepNext w:val="0"/>
              <w:spacing w:before="0" w:after="0" w:line="252" w:lineRule="auto"/>
              <w:jc w:val="left"/>
            </w:pPr>
            <w:r>
              <w:rPr>
                <w:rFonts w:ascii="Arial Unicode MS" w:hAnsi="Arial Unicode MS" w:eastAsia="Arial Unicode MS"/>
                <w:color w:val="1F2933"/>
                <w:sz w:val="20"/>
                <w:lang w:val="zh-CN" w:eastAsia="zh-CN"/>
              </w:rPr>
              <w:t>条件式 GO；可分批开发</w:t>
            </w:r>
          </w:p>
        </w:tc>
      </w:tr>
    </w:tbl>
    <w:p>
      <w:pPr>
        <w:keepNext w:val="0"/>
        <w:spacing w:before="80" w:after="160" w:line="264" w:lineRule="auto"/>
      </w:pPr>
      <w:r>
        <w:rPr>
          <w:rFonts w:ascii="Arial Unicode MS" w:hAnsi="Arial Unicode MS" w:eastAsia="Arial Unicode MS"/>
          <w:color w:val="667085"/>
          <w:sz w:val="18"/>
          <w:lang w:val="zh-CN" w:eastAsia="zh-CN"/>
        </w:rPr>
        <w:t>注：状态统计按 QA 表的系统列和状态列计算；中止及空白记录不等同于已解决。</w:t>
      </w:r>
    </w:p>
    <w:p>
      <w:pPr>
        <w:pStyle w:val="Heading1"/>
        <w:keepNext/>
        <w:spacing w:before="320" w:after="160" w:line="240" w:lineRule="auto"/>
      </w:pPr>
      <w:r>
        <w:rPr>
          <w:rFonts w:ascii="Arial Unicode MS" w:hAnsi="Arial Unicode MS" w:eastAsia="Arial Unicode MS"/>
          <w:b/>
          <w:color w:val="2E74B5"/>
          <w:sz w:val="32"/>
          <w:lang w:val="zh-CN" w:eastAsia="zh-CN"/>
        </w:rPr>
        <w:t>2. 课题一：WMS（Hitluster）</w:t>
      </w:r>
    </w:p>
    <w:p>
      <w:pPr>
        <w:keepNext w:val="0"/>
        <w:spacing w:before="40" w:after="240" w:line="276" w:lineRule="auto"/>
        <w:ind w:left="173"/>
        <w:shd w:fill="FFF8E8"/>
        <w:pBdr>
          <w:left w:val="single" w:sz="18" w:space="8" w:color="7A5A00"/>
        </w:pBdr>
      </w:pPr>
      <w:r>
        <w:rPr>
          <w:rFonts w:ascii="Arial Unicode MS" w:hAnsi="Arial Unicode MS" w:eastAsia="Arial Unicode MS"/>
          <w:b/>
          <w:color w:val="7A5A00"/>
          <w:lang w:val="zh-CN" w:eastAsia="zh-CN"/>
        </w:rPr>
        <w:t xml:space="preserve">结论  </w:t>
      </w:r>
      <w:r>
        <w:rPr>
          <w:rFonts w:ascii="Arial Unicode MS" w:hAnsi="Arial Unicode MS" w:eastAsia="Arial Unicode MS"/>
          <w:color w:val="1F2933"/>
          <w:lang w:val="zh-CN" w:eastAsia="zh-CN"/>
        </w:rPr>
        <w:t>基础资料已具备，但主数据、物流属性、会计和库存可靠性规则仍未闭合。</w:t>
      </w:r>
    </w:p>
    <w:p>
      <w:pPr>
        <w:pStyle w:val="Heading2"/>
        <w:keepNext/>
        <w:spacing w:before="240" w:after="120" w:line="240" w:lineRule="auto"/>
      </w:pPr>
      <w:r>
        <w:rPr>
          <w:rFonts w:ascii="Arial Unicode MS" w:hAnsi="Arial Unicode MS" w:eastAsia="Arial Unicode MS"/>
          <w:b/>
          <w:color w:val="2E74B5"/>
          <w:sz w:val="26"/>
          <w:lang w:val="zh-CN" w:eastAsia="zh-CN"/>
        </w:rPr>
        <w:t>2.1 可进入详细设计的内容</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商品、分类、店铺、供应商等基础接口资料和样例已基本取得。</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商品层级已确认采用“部门→大分类→中分类→小分类→细分类”。</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部分固定值和代码规则已确认，包括荷主代码、仕入区分和发注区分。</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库存接口基本形态已明确：库存一览为日次全量，库存调整为差分；仓库代码保持西友原六码；更新时间采用接收时间。</w:t>
      </w:r>
    </w:p>
    <w:p>
      <w:pPr>
        <w:pStyle w:val="Heading2"/>
        <w:keepNext/>
        <w:spacing w:before="240" w:after="120" w:line="240" w:lineRule="auto"/>
      </w:pPr>
      <w:r>
        <w:rPr>
          <w:rFonts w:ascii="Arial Unicode MS" w:hAnsi="Arial Unicode MS" w:eastAsia="Arial Unicode MS"/>
          <w:b/>
          <w:color w:val="2E74B5"/>
          <w:sz w:val="26"/>
          <w:lang w:val="zh-CN" w:eastAsia="zh-CN"/>
        </w:rPr>
        <w:t>2.2 阻塞设计或开发的内容</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商品物流属性：</w:t>
      </w:r>
      <w:r>
        <w:rPr>
          <w:rFonts w:ascii="Arial Unicode MS" w:hAnsi="Arial Unicode MS" w:eastAsia="Arial Unicode MS"/>
          <w:color w:val="1F2933"/>
          <w:lang w:val="zh-CN" w:eastAsia="zh-CN"/>
        </w:rPr>
        <w:t>DC Location、Lot管理、托盘层数、ITF一对多、便区分、发注单位、DC Pack、Case入数及出荷荷姿缺少统一维护方案。便区分已确认是实际运营必需项。</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代码及主数据：</w:t>
      </w:r>
      <w:r>
        <w:rPr>
          <w:rFonts w:ascii="Arial Unicode MS" w:hAnsi="Arial Unicode MS" w:eastAsia="Arial Unicode MS"/>
          <w:color w:val="1F2933"/>
          <w:lang w:val="zh-CN" w:eastAsia="zh-CN"/>
        </w:rPr>
        <w:t>出荷先采用旧西友代码还是TRIAL代码、商品分类使用层级、ASN区分来源均未确定。</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入荷计划与传票：</w:t>
      </w:r>
      <w:r>
        <w:rPr>
          <w:rFonts w:ascii="Arial Unicode MS" w:hAnsi="Arial Unicode MS" w:eastAsia="Arial Unicode MS"/>
          <w:color w:val="1F2933"/>
          <w:lang w:val="zh-CN" w:eastAsia="zh-CN"/>
        </w:rPr>
        <w:t>TC总量入荷计划需要从店铺级汇总到中心级，但检品仓库代码、中心传票ID和编号规则未确定；入荷实绩转仕入传票时仍缺少金额、税及传票属性。</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成本与会计：</w:t>
      </w:r>
      <w:r>
        <w:rPr>
          <w:rFonts w:ascii="Arial Unicode MS" w:hAnsi="Arial Unicode MS" w:eastAsia="Arial Unicode MS"/>
          <w:color w:val="1F2933"/>
          <w:lang w:val="zh-CN" w:eastAsia="zh-CN"/>
        </w:rPr>
        <w:t>移动平均单价与TRIAL总平均单价的统一原则、保存位置和计算责任尚未决定；税区分来源仍未回答。</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业务范围：</w:t>
      </w:r>
      <w:r>
        <w:rPr>
          <w:rFonts w:ascii="Arial Unicode MS" w:hAnsi="Arial Unicode MS" w:eastAsia="Arial Unicode MS"/>
          <w:color w:val="1F2933"/>
          <w:lang w:val="zh-CN" w:eastAsia="zh-CN"/>
        </w:rPr>
        <w:t>已确认退货和废弃实际由TC处理，但本次是否完全排除仍在讨论；非发注型调拨处于保留状态。</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库存可靠性：</w:t>
      </w:r>
      <w:r>
        <w:rPr>
          <w:rFonts w:ascii="Arial Unicode MS" w:hAnsi="Arial Unicode MS" w:eastAsia="Arial Unicode MS"/>
          <w:color w:val="1F2933"/>
          <w:lang w:val="zh-CN" w:eastAsia="zh-CN"/>
        </w:rPr>
        <w:t>全量与差分的严格应用顺序、并发控制、幂等、失败重试以及全量文件缺失时的回退方式尚未形成可实现的设计规则。</w:t>
      </w:r>
    </w:p>
    <w:p>
      <w:pPr>
        <w:pStyle w:val="Heading2"/>
        <w:keepNext/>
        <w:spacing w:before="240" w:after="120" w:line="240" w:lineRule="auto"/>
      </w:pPr>
      <w:r>
        <w:rPr>
          <w:rFonts w:ascii="Arial Unicode MS" w:hAnsi="Arial Unicode MS" w:eastAsia="Arial Unicode MS"/>
          <w:b/>
          <w:color w:val="2E74B5"/>
          <w:sz w:val="26"/>
          <w:lang w:val="zh-CN" w:eastAsia="zh-CN"/>
        </w:rPr>
        <w:t>2.3 QA 状态上的残余风险</w:t>
      </w:r>
    </w:p>
    <w:p>
      <w:pPr>
        <w:keepNext w:val="0"/>
        <w:spacing w:before="0" w:after="120" w:line="264" w:lineRule="auto"/>
      </w:pPr>
      <w:r>
        <w:rPr>
          <w:rFonts w:ascii="Arial Unicode MS" w:hAnsi="Arial Unicode MS" w:eastAsia="Arial Unicode MS"/>
          <w:color w:val="1F2933"/>
          <w:lang w:val="zh-CN" w:eastAsia="zh-CN"/>
        </w:rPr>
        <w:t>下列内容虽然标为“完了”，回答本身仍是“详细设计时讨论”或“需要继续确认”，不能视为真正闭环：</w:t>
      </w:r>
    </w:p>
    <w:p>
      <w:pPr>
        <w:pStyle w:val="ListBullet"/>
        <w:keepNext w:val="0"/>
        <w:spacing w:before="0" w:after="160" w:line="280" w:lineRule="auto"/>
        <w:ind w:left="720" w:hanging="360"/>
      </w:pPr>
      <w:r>
        <w:rPr>
          <w:rFonts w:ascii="Arial Unicode MS" w:hAnsi="Arial Unicode MS" w:eastAsia="Arial Unicode MS"/>
          <w:color w:val="9B1C1C"/>
          <w:lang w:val="zh-CN" w:eastAsia="zh-CN"/>
        </w:rPr>
        <w:t>库存全量与差分的应用顺序及使用场景。</w:t>
      </w:r>
    </w:p>
    <w:p>
      <w:pPr>
        <w:pStyle w:val="ListBullet"/>
        <w:keepNext w:val="0"/>
        <w:spacing w:before="0" w:after="160" w:line="280" w:lineRule="auto"/>
        <w:ind w:left="720" w:hanging="360"/>
      </w:pPr>
      <w:r>
        <w:rPr>
          <w:rFonts w:ascii="Arial Unicode MS" w:hAnsi="Arial Unicode MS" w:eastAsia="Arial Unicode MS"/>
          <w:color w:val="9B1C1C"/>
          <w:lang w:val="zh-CN" w:eastAsia="zh-CN"/>
        </w:rPr>
        <w:t>全量数据缺失时的回退策略。</w:t>
      </w:r>
    </w:p>
    <w:p>
      <w:pPr>
        <w:pStyle w:val="ListBullet"/>
        <w:keepNext w:val="0"/>
        <w:spacing w:before="0" w:after="160" w:line="280" w:lineRule="auto"/>
        <w:ind w:left="720" w:hanging="360"/>
      </w:pPr>
      <w:r>
        <w:rPr>
          <w:rFonts w:ascii="Arial Unicode MS" w:hAnsi="Arial Unicode MS" w:eastAsia="Arial Unicode MS"/>
          <w:color w:val="9B1C1C"/>
          <w:lang w:val="zh-CN" w:eastAsia="zh-CN"/>
        </w:rPr>
        <w:t>库存调整的排他控制和错误重试。</w:t>
      </w:r>
    </w:p>
    <w:p>
      <w:pPr>
        <w:pStyle w:val="ListBullet"/>
        <w:keepNext w:val="0"/>
        <w:spacing w:before="0" w:after="160" w:line="280" w:lineRule="auto"/>
        <w:ind w:left="720" w:hanging="360"/>
      </w:pPr>
      <w:r>
        <w:rPr>
          <w:rFonts w:ascii="Arial Unicode MS" w:hAnsi="Arial Unicode MS" w:eastAsia="Arial Unicode MS"/>
          <w:color w:val="9B1C1C"/>
          <w:lang w:val="zh-CN" w:eastAsia="zh-CN"/>
        </w:rPr>
        <w:t>ITF一对多同步方法、商品重量未来使用必要性。</w:t>
      </w:r>
    </w:p>
    <w:p>
      <w:pPr>
        <w:pStyle w:val="Heading1"/>
        <w:keepNext/>
        <w:spacing w:before="320" w:after="160" w:line="240" w:lineRule="auto"/>
      </w:pPr>
      <w:r>
        <w:rPr>
          <w:rFonts w:ascii="Arial Unicode MS" w:hAnsi="Arial Unicode MS" w:eastAsia="Arial Unicode MS"/>
          <w:b/>
          <w:color w:val="2E74B5"/>
          <w:sz w:val="32"/>
          <w:lang w:val="zh-CN" w:eastAsia="zh-CN"/>
        </w:rPr>
        <w:t>3. 课题二：自动补充（Sinops）</w:t>
      </w:r>
    </w:p>
    <w:p>
      <w:pPr>
        <w:keepNext w:val="0"/>
        <w:spacing w:before="40" w:after="240" w:line="276" w:lineRule="auto"/>
        <w:ind w:left="173"/>
        <w:shd w:fill="E8EEF5"/>
        <w:pBdr>
          <w:left w:val="single" w:sz="18" w:space="8" w:color="1F4D78"/>
        </w:pBdr>
      </w:pPr>
      <w:r>
        <w:rPr>
          <w:rFonts w:ascii="Arial Unicode MS" w:hAnsi="Arial Unicode MS" w:eastAsia="Arial Unicode MS"/>
          <w:b/>
          <w:color w:val="1F4D78"/>
          <w:lang w:val="zh-CN" w:eastAsia="zh-CN"/>
        </w:rPr>
        <w:t xml:space="preserve">结论  </w:t>
      </w:r>
      <w:r>
        <w:rPr>
          <w:rFonts w:ascii="Arial Unicode MS" w:hAnsi="Arial Unicode MS" w:eastAsia="Arial Unicode MS"/>
          <w:color w:val="1F2933"/>
          <w:lang w:val="zh-CN" w:eastAsia="zh-CN"/>
        </w:rPr>
        <w:t>完成率已达到81.5%，多数接口规则可直接设计；未决项可按接口隔离，不必阻塞全部开发。</w:t>
      </w:r>
    </w:p>
    <w:p>
      <w:pPr>
        <w:pStyle w:val="Heading2"/>
        <w:keepNext/>
        <w:spacing w:before="240" w:after="120" w:line="240" w:lineRule="auto"/>
      </w:pPr>
      <w:r>
        <w:rPr>
          <w:rFonts w:ascii="Arial Unicode MS" w:hAnsi="Arial Unicode MS" w:eastAsia="Arial Unicode MS"/>
          <w:b/>
          <w:color w:val="2E74B5"/>
          <w:sz w:val="26"/>
          <w:lang w:val="zh-CN" w:eastAsia="zh-CN"/>
        </w:rPr>
        <w:t>3.1 本次 QA 带来的主要更新</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完了数由上一版的65项增加到66项。</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发注种别的设置规则已给出，可从争议项中移出。</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受払明细映射已于8月19日确认：出库使用TRIAL传票区分30，入库使用区分10。</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供应商休日参与发注计划生成已经确认。</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新商品库存的基本路径已明确为继续使用 Store Manager → 西友DWH，并由Sinops参考DWH中的棚割数据。</w:t>
      </w:r>
    </w:p>
    <w:p>
      <w:pPr>
        <w:pStyle w:val="Heading2"/>
        <w:keepNext/>
        <w:spacing w:before="240" w:after="120" w:line="240" w:lineRule="auto"/>
      </w:pPr>
      <w:r>
        <w:rPr>
          <w:rFonts w:ascii="Arial Unicode MS" w:hAnsi="Arial Unicode MS" w:eastAsia="Arial Unicode MS"/>
          <w:b/>
          <w:color w:val="2E74B5"/>
          <w:sz w:val="26"/>
          <w:lang w:val="zh-CN" w:eastAsia="zh-CN"/>
        </w:rPr>
        <w:t>3.2 仍需关闭的关键问题</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便区分：</w:t>
      </w:r>
      <w:r>
        <w:rPr>
          <w:rFonts w:ascii="Arial Unicode MS" w:hAnsi="Arial Unicode MS" w:eastAsia="Arial Unicode MS"/>
          <w:color w:val="1F2933"/>
          <w:lang w:val="zh-CN" w:eastAsia="zh-CN"/>
        </w:rPr>
        <w:t>入荷予定、入荷実绩中的便区分是必填/Key，但TRIAL侧没有稳定来源，固定值还是其他表补全尚未决定。</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24点库存快照：</w:t>
      </w:r>
      <w:r>
        <w:rPr>
          <w:rFonts w:ascii="Arial Unicode MS" w:hAnsi="Arial Unicode MS" w:eastAsia="Arial Unicode MS"/>
          <w:color w:val="1F2933"/>
          <w:lang w:val="zh-CN" w:eastAsia="zh-CN"/>
        </w:rPr>
        <w:t>Sinops需要前日24:00库存，Shinise侧快照仍在确认。</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棚割接口：</w:t>
      </w:r>
      <w:r>
        <w:rPr>
          <w:rFonts w:ascii="Arial Unicode MS" w:hAnsi="Arial Unicode MS" w:eastAsia="Arial Unicode MS"/>
          <w:color w:val="1F2933"/>
          <w:lang w:val="zh-CN" w:eastAsia="zh-CN"/>
        </w:rPr>
        <w:t>来源、开始/结束日提前处理、Dummy棚割生成规则及卖场代码定义仍未统一。</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Case/散件转换：</w:t>
      </w:r>
      <w:r>
        <w:rPr>
          <w:rFonts w:ascii="Arial Unicode MS" w:hAnsi="Arial Unicode MS" w:eastAsia="Arial Unicode MS"/>
          <w:color w:val="1F2933"/>
          <w:lang w:val="zh-CN" w:eastAsia="zh-CN"/>
        </w:rPr>
        <w:t>新旧商品关系存在店铺差异时，如何归并成商品级数据尚未确定。</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供应商与仓库关系：</w:t>
      </w:r>
      <w:r>
        <w:rPr>
          <w:rFonts w:ascii="Arial Unicode MS" w:hAnsi="Arial Unicode MS" w:eastAsia="Arial Unicode MS"/>
          <w:color w:val="1F2933"/>
          <w:lang w:val="zh-CN" w:eastAsia="zh-CN"/>
        </w:rPr>
        <w:t>可以从调达主数据推导，但数据量、性能以及由哪一侧拆分文件仍未决定。</w:t>
      </w:r>
    </w:p>
    <w:p>
      <w:pPr>
        <w:pStyle w:val="ListBullet"/>
        <w:keepNext w:val="0"/>
        <w:spacing w:before="0" w:after="160" w:line="280" w:lineRule="auto"/>
        <w:ind w:left="720" w:hanging="360"/>
      </w:pPr>
      <w:r>
        <w:rPr>
          <w:rFonts w:ascii="Arial Unicode MS" w:hAnsi="Arial Unicode MS" w:eastAsia="Arial Unicode MS"/>
          <w:b/>
          <w:color w:val="1F4D78"/>
          <w:lang w:val="zh-CN" w:eastAsia="zh-CN"/>
        </w:rPr>
        <w:t>新商品库存：</w:t>
      </w:r>
      <w:r>
        <w:rPr>
          <w:rFonts w:ascii="Arial Unicode MS" w:hAnsi="Arial Unicode MS" w:eastAsia="Arial Unicode MS"/>
          <w:color w:val="1F2933"/>
          <w:lang w:val="zh-CN" w:eastAsia="zh-CN"/>
        </w:rPr>
        <w:t>已确定参考DWH及独立自动发注对象表，但外部接口、必要字段和实施负责人仍需落地。</w:t>
      </w:r>
    </w:p>
    <w:p>
      <w:pPr>
        <w:pStyle w:val="Heading2"/>
        <w:keepNext/>
        <w:spacing w:before="240" w:after="120" w:line="240" w:lineRule="auto"/>
      </w:pPr>
      <w:r>
        <w:rPr>
          <w:rFonts w:ascii="Arial Unicode MS" w:hAnsi="Arial Unicode MS" w:eastAsia="Arial Unicode MS"/>
          <w:b/>
          <w:color w:val="2E74B5"/>
          <w:sz w:val="26"/>
          <w:lang w:val="zh-CN" w:eastAsia="zh-CN"/>
        </w:rPr>
        <w:t>3.3 可优先开发的接口</w:t>
      </w:r>
    </w:p>
    <w:p>
      <w:pPr>
        <w:keepNext w:val="0"/>
        <w:spacing w:before="0" w:after="120" w:line="264" w:lineRule="auto"/>
      </w:pPr>
      <w:r>
        <w:rPr>
          <w:rFonts w:ascii="Arial Unicode MS" w:hAnsi="Arial Unicode MS" w:eastAsia="Arial Unicode MS"/>
          <w:color w:val="1F2933"/>
          <w:lang w:val="zh-CN" w:eastAsia="zh-CN"/>
        </w:rPr>
        <w:t>销售实绩、来客数、发注勧告、发注实绩、休日设置以及已确认的受払明细可进入详细设计和开发。便区分、24点库存、棚割、新商品库存和供应商—仓库拆分应暂时隔离。</w:t>
      </w:r>
    </w:p>
    <w:p>
      <w:pPr>
        <w:pStyle w:val="Heading1"/>
        <w:keepNext/>
        <w:spacing w:before="320" w:after="160" w:line="240" w:lineRule="auto"/>
      </w:pPr>
      <w:r>
        <w:rPr>
          <w:rFonts w:ascii="Arial Unicode MS" w:hAnsi="Arial Unicode MS" w:eastAsia="Arial Unicode MS"/>
          <w:b/>
          <w:color w:val="2E74B5"/>
          <w:sz w:val="32"/>
          <w:lang w:val="zh-CN" w:eastAsia="zh-CN"/>
        </w:rPr>
        <w:t>4. 跨领域依赖</w:t>
      </w:r>
    </w:p>
    <w:p>
      <w:pPr>
        <w:keepNext w:val="0"/>
        <w:spacing w:before="0" w:after="120" w:line="264" w:lineRule="auto"/>
      </w:pPr>
      <w:r>
        <w:rPr>
          <w:rFonts w:ascii="Arial Unicode MS" w:hAnsi="Arial Unicode MS" w:eastAsia="Arial Unicode MS"/>
          <w:color w:val="1F2933"/>
          <w:lang w:val="zh-CN" w:eastAsia="zh-CN"/>
        </w:rPr>
        <w:t>BO领域仍有多项处理中记录，会直接影响WMS商品主数据与仕入传票：</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通過在庫区分。</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原价、含税原价、售价及Vendor Pack入数。</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供应商必要字段、税务和支付相关代码定义。</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店铺状态、Location类型及主数据长度限制。</w:t>
      </w:r>
    </w:p>
    <w:p>
      <w:pPr>
        <w:keepNext w:val="0"/>
        <w:spacing w:before="0" w:after="120" w:line="264" w:lineRule="auto"/>
      </w:pPr>
      <w:r>
        <w:rPr>
          <w:rFonts w:ascii="Arial Unicode MS" w:hAnsi="Arial Unicode MS" w:eastAsia="Arial Unicode MS"/>
          <w:color w:val="1F2933"/>
          <w:lang w:val="zh-CN" w:eastAsia="zh-CN"/>
        </w:rPr>
        <w:t>两个课题还共同依赖区分管理主数据以及GCS目录、授受文件和归档规则。</w:t>
      </w:r>
    </w:p>
    <w:p>
      <w:pPr>
        <w:pStyle w:val="Heading1"/>
        <w:keepNext/>
        <w:spacing w:before="320" w:after="160" w:line="240" w:lineRule="auto"/>
      </w:pPr>
      <w:r>
        <w:rPr>
          <w:rFonts w:ascii="Arial Unicode MS" w:hAnsi="Arial Unicode MS" w:eastAsia="Arial Unicode MS"/>
          <w:b/>
          <w:color w:val="2E74B5"/>
          <w:sz w:val="32"/>
          <w:lang w:val="zh-CN" w:eastAsia="zh-CN"/>
        </w:rPr>
        <w:t>5. 建议实施顺序</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先清理 QA 状态：关闭已有明确回答的记录，重新打开“完了但仍需确认”的记录。</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冻结共同数据契约：明确字段来源、Key、代码表、默认值、时间点、全量/差分、重试和对账规则。</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第一批开发 Sinops 已闭合接口，以及 WMS 的传输框架、日志、文件校验和稳定主数据接口。</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第二批在便区分、物流商品属性、棚割和供应商—仓库关系确定后开发。</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WMS库存、成本、仕入传票及会计相关接口放在最后一批，先完成业务与BO侧决策。</w:t>
      </w:r>
    </w:p>
    <w:p>
      <w:pPr>
        <w:pStyle w:val="ListNumber"/>
        <w:keepNext w:val="0"/>
        <w:spacing w:before="0" w:after="160" w:line="280" w:lineRule="auto"/>
        <w:ind w:left="720" w:hanging="360"/>
      </w:pPr>
      <w:r>
        <w:rPr>
          <w:rFonts w:ascii="Arial Unicode MS" w:hAnsi="Arial Unicode MS" w:eastAsia="Arial Unicode MS"/>
          <w:color w:val="1F2933"/>
          <w:lang w:val="zh-CN" w:eastAsia="zh-CN"/>
        </w:rPr>
        <w:t>联调阶段必须覆盖重放、重复文件、乱序、缺件、部分失败和人工恢复场景。</w:t>
      </w:r>
    </w:p>
    <w:p>
      <w:pPr>
        <w:pStyle w:val="Heading1"/>
        <w:keepNext/>
        <w:spacing w:before="320" w:after="160" w:line="240" w:lineRule="auto"/>
      </w:pPr>
      <w:r>
        <w:rPr>
          <w:rFonts w:ascii="Arial Unicode MS" w:hAnsi="Arial Unicode MS" w:eastAsia="Arial Unicode MS"/>
          <w:b/>
          <w:color w:val="2E74B5"/>
          <w:sz w:val="32"/>
          <w:lang w:val="zh-CN" w:eastAsia="zh-CN"/>
        </w:rPr>
        <w:t>6. QA 管理上的修正建议</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“完了”必须同时满足：回答明确、责任人明确、设计可执行、相关资料已入库。</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存在后续确认、要检讨、详细设计时讨论等表述时，状态改为“对应中”。</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有回答但仍标为“未对应”的记录，应确认是状态漏更新还是实施尚未开始。</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中止记录应补充中止原因及替代课题编号，避免问题被遗漏。</w:t>
      </w:r>
    </w:p>
    <w:p>
      <w:pPr>
        <w:pStyle w:val="Heading1"/>
        <w:keepNext/>
        <w:spacing w:before="320" w:after="160" w:line="240" w:lineRule="auto"/>
      </w:pPr>
      <w:r>
        <w:rPr>
          <w:rFonts w:ascii="Arial Unicode MS" w:hAnsi="Arial Unicode MS" w:eastAsia="Arial Unicode MS"/>
          <w:b/>
          <w:color w:val="2E74B5"/>
          <w:sz w:val="32"/>
          <w:lang w:val="zh-CN" w:eastAsia="zh-CN"/>
        </w:rPr>
        <w:t>7. 参照资料</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情報システムPMI_MD基幹統合PJ_TRE_課題管理表.xlsx（2026-08-25上传版）</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03. WMS (Hitluster)-20260825T065143Z-1-001.zip</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01. 自動補充（Sinops）-20260825T065143Z-1-001.zip</w:t>
      </w:r>
    </w:p>
    <w:p>
      <w:pPr>
        <w:pStyle w:val="ListBullet"/>
        <w:keepNext w:val="0"/>
        <w:spacing w:before="0" w:after="160" w:line="280" w:lineRule="auto"/>
        <w:ind w:left="720" w:hanging="360"/>
      </w:pPr>
      <w:r>
        <w:rPr>
          <w:rFonts w:ascii="Arial Unicode MS" w:hAnsi="Arial Unicode MS" w:eastAsia="Arial Unicode MS"/>
          <w:color w:val="1F2933"/>
          <w:lang w:val="zh-CN" w:eastAsia="zh-CN"/>
        </w:rPr>
        <w:t>PJWest_情報システム_MD基幹統合PJ _週次定例_20260819.pptx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667085"/>
        <w:sz w:val="18"/>
        <w:lang w:val="zh-CN" w:eastAsia="zh-CN"/>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4" w:lineRule="auto"/>
      <w:jc w:val="left"/>
    </w:pPr>
    <w:r>
      <w:rPr>
        <w:rFonts w:ascii="Arial Unicode MS" w:hAnsi="Arial Unicode MS" w:eastAsia="Arial Unicode MS"/>
        <w:b/>
        <w:color w:val="667085"/>
        <w:sz w:val="18"/>
        <w:lang w:val="zh-CN" w:eastAsia="zh-CN"/>
      </w:rPr>
      <w:t>MD基幹統合PJ | QA反映版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Unicode MS" w:hAnsi="Arial Unicode MS" w:eastAsia="Arial Unicode MS"/>
      <w:color w:val="1F2933"/>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2E74B5"/>
      <w:sz w:val="32"/>
      <w:szCs w:val="28"/>
      <w:lang w:val="zh-CN" w:eastAsia="zh-CN"/>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2E74B5"/>
      <w:sz w:val="26"/>
      <w:szCs w:val="26"/>
      <w:lang w:val="zh-CN"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1F4D78"/>
      <w:sz w:val="24"/>
      <w:lang w:val="zh-CN"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WMS・自动补充课题再整理总结</dc:title>
  <dc:subject>MD基幹統合PJ QA反映版</dc:subject>
  <dc:creator>Project Team</dc:creator>
  <cp:keywords>WMS, Hitluster, Sinops, QA, MD基幹統合</cp:keywords>
  <dc:description>generated by python-docx</dc:description>
  <cp:lastModifiedBy/>
  <cp:revision>1</cp:revision>
  <dcterms:created xsi:type="dcterms:W3CDTF">2013-12-23T23:15:00Z</dcterms:created>
  <dcterms:modified xsi:type="dcterms:W3CDTF">2013-12-23T23:15:00Z</dcterms:modified>
  <cp:category/>
</cp:coreProperties>
</file>