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2"/>
        </w:rPr>
        <w:t>PROJECT BRIEF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8"/>
        </w:rPr>
        <w:t>WMS・自动补充QA课题再整理总结</w:t>
      </w:r>
    </w:p>
    <w:p>
      <w:pPr>
        <w:spacing w:before="0" w:after="2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6"/>
        </w:rPr>
        <w:t>基于最新課題管理表（2026-08-28更新）整理的设计与开发判断</w:t>
      </w:r>
    </w:p>
    <w:p>
      <w:pPr>
        <w:spacing w:before="0" w:after="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日期: 2026-09-01</w:t>
      </w:r>
    </w:p>
    <w:p>
      <w:pPr>
        <w:spacing w:before="0" w:after="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对象: WMS（Hitluster）／自动补充（Sinops）</w:t>
      </w:r>
    </w:p>
    <w:p>
      <w:pPr>
        <w:spacing w:before="0" w:after="20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目的: 明确QA关闭状态、残课题、跨系统依赖及后续设计开发入口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总体判断：QA回答整体已大幅收敛，但“完了”不等于实现规格全部闭环；WMS与Sinops均应按残课题和外部依赖分批进入设计开发。</w:t>
            </w:r>
          </w:p>
        </w:tc>
      </w:tr>
    </w:tbl>
    <w:p>
      <w:pPr>
        <w:spacing w:after="20"/>
      </w:pPr>
    </w:p>
    <w:p>
      <w:pPr>
        <w:pStyle w:val="Heading1"/>
      </w:pPr>
      <w:r>
        <w:t>1. QA状态概览</w:t>
      </w:r>
    </w:p>
    <w:p>
      <w:pPr>
        <w:spacing w:before="0" w:after="12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最新管理表的状态数字反映QA管理状态，不直接等同于设计开发完成度。WMS与Sinops均存在“完了但仍有残课题”的记录。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152"/>
        <w:gridCol w:w="3240"/>
        <w:gridCol w:w="3024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系统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QA总数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当前状态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设计开发判断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WMS（Hitluster）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63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完了53；対応中4；中止6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可扩大详细设计；整体开发需先关闭关键方针项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自动补充（Sinops）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80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完了75；保留2；対応中1；空白1；中止1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直接GCS接口可分批推进；Master/DWH及棚割需条件式推进</w:t>
            </w:r>
          </w:p>
        </w:tc>
      </w:tr>
    </w:tbl>
    <w:p>
      <w:pPr>
        <w:spacing w:after="20"/>
      </w:pPr>
    </w:p>
    <w:p>
      <w:pPr>
        <w:spacing w:before="0" w:after="160"/>
      </w:pPr>
      <w:r>
        <w:rPr>
          <w:rFonts w:ascii="Arial Unicode MS" w:hAnsi="Arial Unicode MS" w:eastAsia="Arial Unicode MS" w:cs="Arial Unicode MS"/>
          <w:b w:val="0"/>
          <w:i/>
          <w:color w:val="707D8D"/>
          <w:sz w:val="19"/>
        </w:rPr>
        <w:t>注：同一课题的追加提问按QA行记录；“中止”需在设计资料中明确替代方案或正式排除范围。</w:t>
      </w:r>
    </w:p>
    <w:p>
      <w:pPr>
        <w:pStyle w:val="Heading1"/>
      </w:pPr>
      <w:r>
        <w:t>2. 课题一：WMS（Hitluster）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A67C00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FFF6E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WMS：53/63条QA已完了，4条仍対応中，6条中止；主要风险集中在商品Master物流属性、库存全量/差分处理、成本方针及外部系统责任边界。</w:t>
            </w:r>
          </w:p>
        </w:tc>
      </w:tr>
    </w:tbl>
    <w:p>
      <w:pPr>
        <w:spacing w:after="20"/>
      </w:pPr>
    </w:p>
    <w:p>
      <w:pPr>
        <w:pStyle w:val="Heading2"/>
      </w:pPr>
      <w:r>
        <w:t>2.1 已确认并可作为设计输入的内容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商品层级采用“部門＞大分類＞中分類＞小分類＞細分類”，来源为基本商品Master；商品样例及部分分类资料已提供。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店Master、取引先Master、商品分類Master的样例已取得；荷主代码按固定值0000处理，企业代码可固定值设定。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TC店別入荷也需要生成店舗振替数据；输入连番用于计划与实绩的匹配；西友无预托库存，横持属于中心间物流转送。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在庫一覧为日次全件数据，在庫調整为发生时发送的差分数据；负数调整在无既存记录时需新规登记。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仓库代码原则上保持西友六码；更新时间暂按数据接收时间；调整代码由基干侧用于差异原因识别，WMS侧不管理。</w:t>
      </w:r>
    </w:p>
    <w:p>
      <w:pPr>
        <w:pStyle w:val="Heading2"/>
      </w:pPr>
      <w:r>
        <w:t>2.2 当前应优先关闭的WMS课题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672"/>
        <w:gridCol w:w="1224"/>
        <w:gridCol w:w="3312"/>
      </w:tblGrid>
      <w:t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课题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影响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No.188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商品Master的发注单位数设置规则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影响商品Master Mapping及数量计算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No.189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商品Master的ケース入数设置规则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需明确Case/Ball及WMS维护范围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No.196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中心返品、廃棄的实际登记系统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影响WMS接口范围和业务流程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No.198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DC入荷予定的出荷单位数定义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TRIAL运用仍需整理并统一数量定义</w:t>
            </w:r>
          </w:p>
        </w:tc>
      </w:tr>
    </w:tbl>
    <w:p>
      <w:pPr>
        <w:spacing w:after="20"/>
      </w:pPr>
    </w:p>
    <w:p>
      <w:pPr>
        <w:spacing w:before="0" w:after="16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19"/>
        </w:rPr>
        <w:t>No.188和No.189应在商品Master详细设计冻结前关闭；No.196和No.198需要由业务、MD基干、TC/WMS共同确认责任系统。</w:t>
      </w:r>
    </w:p>
    <w:p>
      <w:pPr>
        <w:pStyle w:val="Heading2"/>
      </w:pPr>
      <w:r>
        <w:t>2.3 完了但仍需跟踪的WMS残课题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物流控制器依赖：DC Location、Lot管理、托盘相关字段、商品分类层级以及TC总量入荷汇总转换。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Shinise依赖：便区分维护，以及部分商品物流属性的补充。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主数据依赖：出荷先代码、店铺/中心代码是否沿用现行体系，需与Master统合PJ方针一致。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成本与库存：移动平均单价由哪一侧计算、WMS需提供哪些基础字段、全量与差分的应用顺序、并发控制、重试及全量缺失回退。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ITF代码：一个商品代码对应多个ITF代码的同步方式仍需形成可执行规则。</w:t>
      </w:r>
    </w:p>
    <w:p>
      <w:pPr>
        <w:pStyle w:val="Heading1"/>
      </w:pPr>
      <w:r>
        <w:t>3. 课题二：自动补充（Sinops）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自动补充：QA完了75/80，但11本Master经“GCS→西友DWH→Sinops”转送，14本走“GCS→Sinops”；DWH追加链路及棚割路径仍是主要设计变量。</w:t>
            </w:r>
          </w:p>
        </w:tc>
      </w:tr>
    </w:tbl>
    <w:p>
      <w:pPr>
        <w:spacing w:after="20"/>
      </w:pPr>
    </w:p>
    <w:p>
      <w:pPr>
        <w:pStyle w:val="Heading2"/>
      </w:pPr>
      <w:r>
        <w:t>3.1 链路和范围前提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25本IF均先上传GCS；14本直接从GCS向Sinops传送。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11本Master在GCS之后进入西友DWH，再由DWH处理并转送Sinops；DWH接收、转换、调度、重送、监控和对账需单独设计。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11本Master按“一个业务IF＋一段DWH追加链路”估算，避免把GCS上传和DWH转送重复计为两个完整IF。</w:t>
      </w:r>
    </w:p>
    <w:p>
      <w:pPr>
        <w:pStyle w:val="Heading2"/>
      </w:pPr>
      <w:r>
        <w:t>3.2 已确认并可优先推进的内容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销售实绩、来客数、发注勧告、发注实绩、休日设置及受払明细等接口的主要字段、时间点、全量/差分和数量换算规则已基本明确。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发注勧告的当日/翌日以发注日区分；发注数量按Sinops发注バラ数与发注单位换算，TRIAL侧使用固定换算规则。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入荷实绩和入荷预定的便区分、库存修正等事项已有方向，部分实施责任转交Shinise。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新商品库存数据明确需要从TRIAL基干生成，并建立自动发注对象Master；该事项虽为完了，仍应作为实施任务跟踪。</w:t>
      </w:r>
    </w:p>
    <w:p>
      <w:pPr>
        <w:pStyle w:val="Heading2"/>
      </w:pPr>
      <w:r>
        <w:t>3.3 当前应优先关闭的自动补充课题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1296"/>
        <w:gridCol w:w="3312"/>
      </w:tblGrid>
      <w:t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课题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影响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商品Master统合及店内代码对应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未回答／空白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直接影响11本Master Mapping及DWH数据契约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No.56/57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仕入先Master与仓库关系、数据量及拆分方式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保留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影响DWH仓库拆分、性能及文件输出责任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No.74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棚割明细的最终连携路径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Sinops直连、商谈/棚割DB及DWH路径尚未统一</w:t>
            </w:r>
          </w:p>
        </w:tc>
      </w:tr>
    </w:tbl>
    <w:p>
      <w:pPr>
        <w:spacing w:after="20"/>
      </w:pPr>
    </w:p>
    <w:p>
      <w:pPr>
        <w:pStyle w:val="Heading2"/>
      </w:pPr>
      <w:r>
        <w:t>3.4 完了但仍需跟踪的自动补充残课题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Shinise依赖：入荷实绩/预定的便区分、库存修正处理。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Case/散装转换Master：由哪一侧维护、如何把店铺差异归并为商品级数据仍需形成规则。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棚割及新商品库存：DWH参照方式、棚割来源、TRIAL基干生成逻辑及自动发注对象Master建设需要明确负责人、期限和验收物。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供应商与仓库关系：可以从调达Master推导，但数据量较大，需确认是否由DWH或Sinops侧进行仓库分割。</w:t>
      </w:r>
    </w:p>
    <w:p>
      <w:pPr>
        <w:pStyle w:val="Heading1"/>
      </w:pPr>
      <w:r>
        <w:t>4. 跨领域依赖</w:t>
      </w:r>
    </w:p>
    <w:p>
      <w:pPr>
        <w:spacing w:before="0" w:after="10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以下事项同时影响WMS、自动补充和BO，不能只在单个IF的Mapping表中处理：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区分管理Master、商品/店铺/供应商代码体系及长度限制。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GCS目录、授受文件、归档、重送、监控和对账规则。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物流控制器与Shinise的字段补充、便区分、DC Location、Case/Pack以及中心物流转换。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MD基干与业务侧对移动平均单价、仕入传票、税区分、返品/廃棄业务的最终方针。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管理原则：QA回答状态与实施残课题必须分开管理；残课题至少补充负责人、期限、设计产物、依赖系统和验收条件。</w:t>
            </w:r>
          </w:p>
        </w:tc>
      </w:tr>
    </w:tbl>
    <w:p>
      <w:pPr>
        <w:spacing w:after="20"/>
      </w:pPr>
    </w:p>
    <w:p>
      <w:pPr>
        <w:pStyle w:val="Heading1"/>
      </w:pPr>
      <w:r>
        <w:t>5. 设计开发入口判断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656"/>
        <w:gridCol w:w="5184"/>
      </w:tblGrid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对象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入口判断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进入条件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WMS基础Master及已确认IF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沿用已确认样例、代码和格式；残课题登记为后续任务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WMS库存、成本及物流控制器相关IF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条件式GO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先冻结全量/差分、异常、成本及外部系统责任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Sinops直接GCS接口（14本）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分批GO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字段、时间点和GCS共通框架确认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 Master DWH接口（11本）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条件式GO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No.9、No.56/57关闭或明确假设和返工边界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棚割及新商品库存相关接口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暂缓/条件式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统一最终路径，明确DWH来源和自动发注对象Master方案</w:t>
            </w:r>
          </w:p>
        </w:tc>
      </w:tr>
    </w:tbl>
    <w:p>
      <w:pPr>
        <w:spacing w:after="20"/>
      </w:pPr>
    </w:p>
    <w:p>
      <w:pPr>
        <w:pStyle w:val="Heading1"/>
      </w:pPr>
      <w:r>
        <w:t>6. 后续行动建议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关闭WMS No.188、No.189、No.196、No.198，并将结论回填商品Master、返品/廃棄及DC入荷予定的设计资料。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关闭自动补充No.9、No.56/57、No.74；若无法立即关闭，须书面固定设计假设、责任人、期限和变更时的返工范围。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先冻结共通数据契约：Key、字段来源、代码表、默认值、时间点、全量/差分、重送、幂等、对账和异常恢复。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将11本Master的DWH追加链路作为独立工作包管理，不把DWH工作隐藏在GCS上传或Sinops接口工数中。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中止QA补充中止原因及替代课题编号；完了但带残课题的记录转为可追踪实施任务。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结合测试、综合测试、UAT、移行演练、上线切换及稳定化支持不纳入本阶段估算，另行估算。</w:t>
      </w:r>
    </w:p>
    <w:p>
      <w:pPr>
        <w:pStyle w:val="Heading1"/>
      </w:pPr>
      <w:r>
        <w:t>7. 参照资料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情報システムPMI_MD基幹統合PJ_TRE_課題管理表.xlsx（最新QA管理表，表内更新日2026-08-28）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PJWest_WMS_Sinops_QA_ReSummary_20260826_QA2.docx（本资料的结构和表现形式参考）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03. WMS (Hitluster)-20260825T065143Z-1-001.zip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01. 自动补充（Sinops）-20260825T065143Z-1-001.zip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PJWest_情報システム_MD基幹統合PJ _週次定例_20260826.pptx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 w:cs="Arial"/>
        <w:b w:val="0"/>
        <w:i w:val="0"/>
        <w:color w:val="707D8D"/>
        <w:sz w:val="18"/>
      </w:rPr>
      <w:t xml:space="preserve">Page </w:t>
    </w:r>
    <w:r>
      <w:rPr>
        <w:rFonts w:ascii="Arial" w:hAnsi="Arial" w:eastAsia="Arial" w:cs="Arial"/>
        <w:b w:val="0"/>
        <w:i w:val="0"/>
        <w:color w:val="707D8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 w:cs="Arial"/>
        <w:b/>
        <w:i w:val="0"/>
        <w:color w:val="707D8D"/>
        <w:sz w:val="18"/>
      </w:rPr>
      <w:t>MD</w:t>
    </w:r>
    <w:r>
      <w:rPr>
        <w:rFonts w:ascii="Arial" w:hAnsi="Arial" w:eastAsia="Arial" w:cs="Arial"/>
        <w:b w:val="0"/>
        <w:i w:val="0"/>
        <w:color w:val="707D8D"/>
        <w:sz w:val="18"/>
      </w:rPr>
      <w:t xml:space="preserve">    </w:t>
    </w:r>
    <w:r>
      <w:rPr>
        <w:rFonts w:ascii="Arial" w:hAnsi="Arial" w:eastAsia="Arial" w:cs="Arial"/>
        <w:b/>
        <w:i w:val="0"/>
        <w:color w:val="707D8D"/>
        <w:sz w:val="18"/>
      </w:rPr>
      <w:t>PJ</w:t>
    </w:r>
    <w:r>
      <w:rPr>
        <w:rFonts w:ascii="Arial" w:hAnsi="Arial" w:eastAsia="Arial" w:cs="Arial"/>
        <w:b w:val="0"/>
        <w:i w:val="0"/>
        <w:color w:val="707D8D"/>
        <w:sz w:val="18"/>
      </w:rPr>
      <w:t xml:space="preserve">    </w:t>
    </w:r>
    <w:r>
      <w:rPr>
        <w:rFonts w:ascii="Arial" w:hAnsi="Arial" w:eastAsia="Arial" w:cs="Arial"/>
        <w:b/>
        <w:i w:val="0"/>
        <w:color w:val="707D8D"/>
        <w:sz w:val="18"/>
      </w:rPr>
      <w:t>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 Unicode MS" w:hAnsi="Arial Unicode MS" w:eastAsia="Arial Unicode MS"/>
      <w:color w:val="1F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03" w:hanging="259"/>
      <w:contextualSpacing/>
    </w:pPr>
    <w:rPr>
      <w:rFonts w:ascii="Arial Unicode MS" w:hAnsi="Arial Unicode MS" w:eastAsia="Arial Unicode MS"/>
      <w:color w:val="1F2D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403" w:hanging="259"/>
      <w:contextualSpacing/>
    </w:pPr>
    <w:rPr>
      <w:rFonts w:ascii="Arial Unicode MS" w:hAnsi="Arial Unicode MS" w:eastAsia="Arial Unicode MS"/>
      <w:color w:val="1F2D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WMS・自动补充QA课题再整理总结</dc:title>
  <dc:subject>最新QA状态、残课题及设计开发判断</dc:subject>
  <dc:creator>PMI MD Integration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