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2"/>
        </w:rPr>
        <w:t>PROJECT BRIEF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8"/>
        </w:rPr>
        <w:t>WMS・自動補充QA課題再整理サマリ</w:t>
      </w:r>
    </w:p>
    <w:p>
      <w:pPr>
        <w:spacing w:before="0" w:after="2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6"/>
        </w:rPr>
        <w:t>最新課題管理表（2026-08-28更新）に基づく設計・開発判断</w:t>
      </w:r>
    </w:p>
    <w:p>
      <w:pPr>
        <w:spacing w:before="0" w:after="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日付: 2026-09-01</w:t>
      </w:r>
    </w:p>
    <w:p>
      <w:pPr>
        <w:spacing w:before="0" w:after="4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対象: WMS（Hitluster）／自動補充（Sinops）</w:t>
      </w:r>
    </w:p>
    <w:p>
      <w:pPr>
        <w:spacing w:before="0" w:after="20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21"/>
        </w:rPr>
        <w:t>目的: QA回答状況、残課題、システム間依存および今後の設計・開発着手条件を明確化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総合判断：QA回答は全体として収束しているが、「完了」は実装仕様の完全確定を意味しない。WMSとSinopsは、残課題および外部依存を分けて段階的に設計・開発へ進める。</w:t>
            </w:r>
          </w:p>
        </w:tc>
      </w:tr>
    </w:tbl>
    <w:p>
      <w:pPr>
        <w:spacing w:after="20"/>
      </w:pPr>
    </w:p>
    <w:p>
      <w:pPr>
        <w:pStyle w:val="Heading1"/>
      </w:pPr>
      <w:r>
        <w:t>1. QA状況の概要</w:t>
      </w:r>
    </w:p>
    <w:p>
      <w:pPr>
        <w:spacing w:before="0" w:after="12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最新管理表のステータスはQA管理状況を示すものであり、設計・開発の完了度と同義ではない。WMSとSinopsには「完了」後も継続管理が必要な課題が残っている。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152"/>
        <w:gridCol w:w="3240"/>
        <w:gridCol w:w="3024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システム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QA総数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現在の状況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設計・開発判断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WMS（Hitluster）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63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完了53；対応中4；中止6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詳細設計は拡大可能。全体開発は重要方針項目の確定が前提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自動補充（Sinops）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80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完了75；保留2；対応中1；空白1；中止1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GCS直接IFは段階推進可能。Master/DWHと棚割は条件付き推進</w:t>
            </w:r>
          </w:p>
        </w:tc>
      </w:tr>
    </w:tbl>
    <w:p>
      <w:pPr>
        <w:spacing w:after="20"/>
      </w:pPr>
    </w:p>
    <w:p>
      <w:pPr>
        <w:spacing w:before="0" w:after="160"/>
      </w:pPr>
      <w:r>
        <w:rPr>
          <w:rFonts w:ascii="Arial Unicode MS" w:hAnsi="Arial Unicode MS" w:eastAsia="Arial Unicode MS" w:cs="Arial Unicode MS"/>
          <w:b w:val="0"/>
          <w:i/>
          <w:color w:val="707D8D"/>
          <w:sz w:val="19"/>
        </w:rPr>
        <w:t>注：同一課題の追加質問もQA行として記録している。「中止」は代替案または正式な対象外範囲を設計資料に明記する。</w:t>
      </w:r>
    </w:p>
    <w:p>
      <w:pPr>
        <w:pStyle w:val="Heading1"/>
      </w:pPr>
      <w:r>
        <w:t>2. 課題1：WMS（Hitluster）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A67C00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FFF6E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WMS：QA 53/63件が完了、4件が対応中、6件が中止。主なリスクは商品Masterの物流属性、在庫の全量／差分処理、原価方針および外部システムの責任分界に集中している。</w:t>
            </w:r>
          </w:p>
        </w:tc>
      </w:tr>
    </w:tbl>
    <w:p>
      <w:pPr>
        <w:spacing w:after="20"/>
      </w:pPr>
    </w:p>
    <w:p>
      <w:pPr>
        <w:pStyle w:val="Heading2"/>
      </w:pPr>
      <w:r>
        <w:t>2.1 確認済みで設計入力にできる内容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商品階層は「部門＞大分類＞中分類＞小分類＞細分類」とし、基本商品Masterをデータソースとする。商品サンプルおよび一部分類資料は取得済み。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店舗Master、取引先Master、商品分類Masterのサンプルを取得済み。荷主コードは固定値0000、企業コードも固定値設定が可能。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TC店舗入荷でも店舗振替データが必要。入力連番は予定と実績の突合に使用。西友に預託在庫はなく、横持ちはセンター間の物流転送として扱う。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在庫一覧は日次の全件データ、在庫調整は発生時の差分データ。既存レコードがない負数調整は新規登録する。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倉庫コードは原則として西友の6桁を維持。更新時刻はデータ受信時刻。調整コードは基幹側で差異理由を識別し、WMSでは管理しない。</w:t>
      </w:r>
    </w:p>
    <w:p>
      <w:pPr>
        <w:pStyle w:val="Heading2"/>
      </w:pPr>
      <w:r>
        <w:t>2.2 現在、優先してクローズすべきWMS課題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3672"/>
        <w:gridCol w:w="1224"/>
        <w:gridCol w:w="3312"/>
      </w:tblGrid>
      <w:t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課題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状況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影響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No.188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商品Masterの発注単位数設定ルール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商品MasterのMappingおよび数量計算に影響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No.189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商品Masterのケース入数設定ルール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Case/BallおよびWMS保守範囲の確定が必要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No.196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センター返品・廃棄の実登録システム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WMSのIF範囲と業務フローに影響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No.198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DC入荷予定の出荷単位数定義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TRIAL運用の整理と数量定義の統一が必要</w:t>
            </w:r>
          </w:p>
        </w:tc>
      </w:tr>
    </w:tbl>
    <w:p>
      <w:pPr>
        <w:spacing w:after="20"/>
      </w:pPr>
    </w:p>
    <w:p>
      <w:pPr>
        <w:spacing w:before="0" w:after="160"/>
      </w:pPr>
      <w:r>
        <w:rPr>
          <w:rFonts w:ascii="Arial Unicode MS" w:hAnsi="Arial Unicode MS" w:eastAsia="Arial Unicode MS" w:cs="Arial Unicode MS"/>
          <w:b w:val="0"/>
          <w:i w:val="0"/>
          <w:color w:val="707D8D"/>
          <w:sz w:val="19"/>
        </w:rPr>
        <w:t>No.188とNo.189は商品Master詳細設計の凍結前にクローズ。No.196とNo.198は業務、MD基幹、TC/WMSで責任システムを確認する。</w:t>
      </w:r>
    </w:p>
    <w:p>
      <w:pPr>
        <w:pStyle w:val="Heading2"/>
      </w:pPr>
      <w:r>
        <w:t>2.3 完了だが継続管理が必要なWMS残課題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物流コントローラ依存：DC Location、Lot管理、パレット関連項目、商品分類階層、TC総量入荷の集約変換。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Shinise依存：便区分の保守、および一部の商品物流属性の補完。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マスタ依存：出荷先コード、店舗／センターコードを現行体系で継続するかをマスタ統合PJ方針と整合。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原価・在庫：移動平均単価の算出主体、WMSが提供する基礎項目、全量／差分の適用順序、排他、リトライ、全量欠損時のフォールバック。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ITFコード：1商品コードに複数ITFコードが存在する場合の同期方式。</w:t>
      </w:r>
    </w:p>
    <w:p>
      <w:pPr>
        <w:pStyle w:val="Heading1"/>
      </w:pPr>
      <w:r>
        <w:t>3. 課題2：自動補充（Sinops）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自動補充：QA 75/80件が完了。ただし、11本のMaster IFは「GCS→西友DWH→Sinops」、14本は「GCS→Sinops」。DWH追加経路と棚割経路が主要な設計変数。</w:t>
            </w:r>
          </w:p>
        </w:tc>
      </w:tr>
    </w:tbl>
    <w:p>
      <w:pPr>
        <w:spacing w:after="20"/>
      </w:pPr>
    </w:p>
    <w:p>
      <w:pPr>
        <w:pStyle w:val="Heading2"/>
      </w:pPr>
      <w:r>
        <w:t>3.1 経路および対象範囲の前提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25本のIFはすべて最初にGCSへアップロードし、14本はGCSからSinopsへ直接連携する。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11本のMaster IFはGCSの後に西友DWHへ取り込み、DWHで処理した上でSinopsへ転送する。DWHの受信、変換、スケジュール、再送、監視、照合を個別に設計する。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11本のMasterは「1本の業務IF＋1つのDWH追加経路」として見積もり、GCSアップロードとDWH転送を2本の完全IFとして重複計上しない。</w:t>
      </w:r>
    </w:p>
    <w:p>
      <w:pPr>
        <w:pStyle w:val="Heading2"/>
      </w:pPr>
      <w:r>
        <w:t>3.2 確認済みで優先推進できる内容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販売実績、来客数、発注勧告、発注実績、休日設定、受払明細などは、主要項目、タイミング、全量／差分、数量変換の方向が概ね明確。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発注勧告は発注日で当日分／翌日以降分を区分。発注数量はSinopsの発注バラ数と発注単位をもとにTRIAL側で固定ルールにより変換する。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入荷実績・入荷予定の便区分、在庫修正などは方向性があり、一部の実装責任はShiniseへ移管。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新商品在庫データはTRIAL基幹で生成し、自動発注対象Masterを整備する。QA完了後も実装タスクとして追跡する。</w:t>
      </w:r>
    </w:p>
    <w:p>
      <w:pPr>
        <w:pStyle w:val="Heading2"/>
      </w:pPr>
      <w:r>
        <w:t>3.3 現在、優先してクローズすべき自動補充課題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1296"/>
        <w:gridCol w:w="3312"/>
      </w:tblGrid>
      <w:tr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QA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課題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状況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影響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商品Master統合および店内コード対応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未回答／空白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11本のMaster MappingとDWHデータ契約に直接影響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No.56/57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仕入先Masterと倉庫の関係、データ量および分割方式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保留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DWHでの倉庫分割、性能、ファイル出力責任に影響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No.74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棚割明細の最終連携経路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対応中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Sinops直連携、商談／棚割DB、DWH経路が未統一</w:t>
            </w:r>
          </w:p>
        </w:tc>
      </w:tr>
    </w:tbl>
    <w:p>
      <w:pPr>
        <w:spacing w:after="20"/>
      </w:pPr>
    </w:p>
    <w:p>
      <w:pPr>
        <w:pStyle w:val="Heading2"/>
      </w:pPr>
      <w:r>
        <w:t>3.4 完了だが継続管理が必要な自動補充残課題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Shinise依存：入荷実績／入荷予定の便区分、在庫修正処理。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Case／バラ変換Master：保守主体と店舗差異を商品単位データへ集約するルール。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棚割および新商品在庫：DWH参照方式、棚割データソース、TRIAL基幹生成ロジック、自動発注対象Masterの担当者・期限・受入成果物。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仕入先と倉庫の関係：調達Masterから推定可能だが、データ量が大きく、DWH側／Sinops側のどちらで倉庫分割するかを確定。</w:t>
      </w:r>
    </w:p>
    <w:p>
      <w:pPr>
        <w:pStyle w:val="Heading1"/>
      </w:pPr>
      <w:r>
        <w:t>4. 領域横断の依存関係</w:t>
      </w:r>
    </w:p>
    <w:p>
      <w:pPr>
        <w:spacing w:before="0" w:after="10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以下はWMS、自動補充、BOに共通して影響するため、単一IFのMapping表だけでは解決できない。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区分管理Master、商品／店舗／仕入先コード体系および桁数制約。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GCSフォルダ、授受ファイル、アーカイブ、再送、監視、照合ルール。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物流コントローラとShiniseによる項目補完、便区分、DC Location、Case/Pack、センター物流変換。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MD基幹および業務側による移動平均単価、仕入伝票、税区分、返品／廃棄業務の最終方針。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22" w:space="0" w:color="2E74B5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  <w:shd w:fill="E8EEF5"/>
          </w:tcPr>
          <w:p>
            <w:pPr>
              <w:spacing w:before="40"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21"/>
              </w:rPr>
              <w:t>管理原則：QA回答状況と実装残課題は分けて管理する。残課題には少なくとも担当者、期限、設計成果物、依存システム、受入条件を記録する。</w:t>
            </w:r>
          </w:p>
        </w:tc>
      </w:tr>
    </w:tbl>
    <w:p>
      <w:pPr>
        <w:spacing w:after="20"/>
      </w:pPr>
    </w:p>
    <w:p>
      <w:pPr>
        <w:pStyle w:val="Heading1"/>
      </w:pPr>
      <w:r>
        <w:t>5. 設計・開発着手の判断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656"/>
        <w:gridCol w:w="5184"/>
      </w:tblGrid>
      <w:tr>
        <w:trPr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対象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着手判断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4D78"/>
                <w:sz w:val="19"/>
              </w:rPr>
              <w:t>開始条件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WMS基礎Masterおよび確認済みIF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確認済みサンプル、コード、形式を使用。残課題は後続タスクとして登録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WMS在庫、原価、物流コントローラ関連IF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条件付きGO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全量／差分、異常、原価、外部システム責任を先に確定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 GCS直接IF（14本）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段階GO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項目、タイミング、GCS共通フレームワークを確認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Sinops Master DWH IF（11本）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条件付きGO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No.9、No.56/57をクローズ、または仮定と手戻り範囲を明記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棚割および新商品在庫IF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保留／条件付き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vAlign w:val="center"/>
          </w:tcPr>
          <w:p>
            <w:pPr>
              <w:spacing w:after="0" w:line="247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D3D"/>
                <w:sz w:val="19"/>
              </w:rPr>
              <w:t>最終経路、DWHソース、自動発注対象Master方針を統一</w:t>
            </w:r>
          </w:p>
        </w:tc>
      </w:tr>
    </w:tbl>
    <w:p>
      <w:pPr>
        <w:spacing w:after="20"/>
      </w:pPr>
    </w:p>
    <w:p>
      <w:pPr>
        <w:pStyle w:val="Heading1"/>
      </w:pPr>
      <w:r>
        <w:t>6. 今後のアクション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WMS No.188、No.189、No.196、No.198をクローズし、商品Master、返品／廃棄、DC入荷予定の設計資料へ反映する。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自動補充No.9、No.56/57、No.74をクローズ。直ちにクローズできない場合は、設計仮定、担当者、期限、変更時の手戻り範囲を文書化する。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共通データ契約（Key、項目ソース、コード表、デフォルト値、タイミング、全量／差分、再送、冪等性、照合、異常復旧）を先に凍結する。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11本のMaster DWH追加経路を独立ワークパッケージとして管理し、DWH作業をGCSアップロードまたはSinops IF工数に隠さない。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中止QAには中止理由と代替課題番号を追記し、完了だが残課題ありの記録は追跡可能な実装タスクへ変換する。</w:t>
      </w:r>
    </w:p>
    <w:p>
      <w:pPr>
        <w:pStyle w:val="ListNumber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結合テスト、総合テスト、UAT、移行リハーサル、切替、安定化支援は本フェーズの見積対象外とし、別途見積もる。</w:t>
      </w:r>
    </w:p>
    <w:p>
      <w:pPr>
        <w:pStyle w:val="Heading1"/>
      </w:pPr>
      <w:r>
        <w:t>7. 参照資料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情報システムPMI_MD基幹統合PJ_TRE_課題管理表.xlsx（最新QA管理表、表内更新日2026-08-28）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PJWest_WMS_Sinops_QA_ReSummary_20260901_QA3.docx（中文版の構成・表現を参照）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03. WMS (Hitluster)-20260825T065143Z-1-001.zip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01. 自動補充（Sinops）-20260825T065143Z-1-001.zip</w:t>
      </w:r>
    </w:p>
    <w:p>
      <w:pPr>
        <w:pStyle w:val="ListBullet"/>
        <w:spacing w:after="60"/>
      </w:pPr>
      <w:r>
        <w:rPr>
          <w:rFonts w:ascii="Arial Unicode MS" w:hAnsi="Arial Unicode MS" w:eastAsia="Arial Unicode MS" w:cs="Arial Unicode MS"/>
          <w:b w:val="0"/>
          <w:i w:val="0"/>
          <w:color w:val="1F2D3D"/>
          <w:sz w:val="21"/>
        </w:rPr>
        <w:t>PJWest_情報システム_MD基幹統合PJ _週次定例_20260826.pptx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 w:cs="Arial"/>
        <w:b w:val="0"/>
        <w:i w:val="0"/>
        <w:color w:val="707D8D"/>
        <w:sz w:val="18"/>
      </w:rPr>
      <w:t xml:space="preserve">Page </w:t>
    </w:r>
    <w:r>
      <w:rPr>
        <w:rFonts w:ascii="Arial" w:hAnsi="Arial" w:eastAsia="Arial" w:cs="Arial"/>
        <w:b w:val="0"/>
        <w:i w:val="0"/>
        <w:color w:val="707D8D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 w:cs="Arial"/>
        <w:b/>
        <w:i w:val="0"/>
        <w:color w:val="707D8D"/>
        <w:sz w:val="18"/>
      </w:rPr>
      <w:t>MD</w:t>
    </w:r>
    <w:r>
      <w:rPr>
        <w:rFonts w:ascii="Arial" w:hAnsi="Arial" w:eastAsia="Arial" w:cs="Arial"/>
        <w:b w:val="0"/>
        <w:i w:val="0"/>
        <w:color w:val="707D8D"/>
        <w:sz w:val="18"/>
      </w:rPr>
      <w:t xml:space="preserve">    </w:t>
    </w:r>
    <w:r>
      <w:rPr>
        <w:rFonts w:ascii="Arial" w:hAnsi="Arial" w:eastAsia="Arial" w:cs="Arial"/>
        <w:b/>
        <w:i w:val="0"/>
        <w:color w:val="707D8D"/>
        <w:sz w:val="18"/>
      </w:rPr>
      <w:t>PJ</w:t>
    </w:r>
    <w:r>
      <w:rPr>
        <w:rFonts w:ascii="Arial" w:hAnsi="Arial" w:eastAsia="Arial" w:cs="Arial"/>
        <w:b w:val="0"/>
        <w:i w:val="0"/>
        <w:color w:val="707D8D"/>
        <w:sz w:val="18"/>
      </w:rPr>
      <w:t xml:space="preserve">    </w:t>
    </w:r>
    <w:r>
      <w:rPr>
        <w:rFonts w:ascii="Arial" w:hAnsi="Arial" w:eastAsia="Arial" w:cs="Arial"/>
        <w:b/>
        <w:i w:val="0"/>
        <w:color w:val="707D8D"/>
        <w:sz w:val="18"/>
      </w:rPr>
      <w:t>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 Unicode MS" w:hAnsi="Arial Unicode MS" w:eastAsia="Arial Unicode MS"/>
      <w:color w:val="1F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03" w:hanging="259"/>
      <w:contextualSpacing/>
    </w:pPr>
    <w:rPr>
      <w:rFonts w:ascii="Arial Unicode MS" w:hAnsi="Arial Unicode MS" w:eastAsia="Arial Unicode MS"/>
      <w:color w:val="1F2D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403" w:hanging="259"/>
      <w:contextualSpacing/>
    </w:pPr>
    <w:rPr>
      <w:rFonts w:ascii="Arial Unicode MS" w:hAnsi="Arial Unicode MS" w:eastAsia="Arial Unicode MS"/>
      <w:color w:val="1F2D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WMS・自動補充QA課題再整理サマリ</dc:title>
  <dc:subject>最新QA状況、残課題および設計・開発着手判断</dc:subject>
  <dc:creator>PMI MD Integration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