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200" w:after="80" w:line="264" w:lineRule="auto"/>
      </w:pPr>
      <w:r>
        <w:rPr>
          <w:rFonts w:ascii="Arial Unicode MS" w:hAnsi="Arial Unicode MS" w:eastAsia="Arial Unicode MS"/>
          <w:b/>
          <w:color w:val="2E74B5"/>
          <w:sz w:val="20"/>
          <w:lang w:val="ja-JP" w:eastAsia="ja-JP"/>
        </w:rPr>
        <w:t>PROJECT BRIEF</w:t>
      </w:r>
    </w:p>
    <w:p>
      <w:pPr>
        <w:keepNext/>
        <w:spacing w:before="0" w:after="80" w:line="264" w:lineRule="auto"/>
      </w:pPr>
      <w:r>
        <w:rPr>
          <w:rFonts w:ascii="Arial Unicode MS" w:hAnsi="Arial Unicode MS" w:eastAsia="Arial Unicode MS"/>
          <w:b/>
          <w:color w:val="000000"/>
          <w:sz w:val="46"/>
          <w:lang w:val="ja-JP" w:eastAsia="ja-JP"/>
        </w:rPr>
        <w:t>WMS・自動補充課題 再整理サマリー</w:t>
      </w:r>
    </w:p>
    <w:p>
      <w:pPr>
        <w:keepNext/>
        <w:spacing w:before="0" w:after="320" w:line="264" w:lineRule="auto"/>
      </w:pPr>
      <w:r>
        <w:rPr>
          <w:rFonts w:ascii="Arial Unicode MS" w:hAnsi="Arial Unicode MS" w:eastAsia="Arial Unicode MS"/>
          <w:color w:val="667085"/>
          <w:sz w:val="26"/>
          <w:lang w:val="ja-JP" w:eastAsia="ja-JP"/>
        </w:rPr>
        <w:t>2026-08-25最新版QA回答を踏まえた設計・開発判断</w:t>
      </w:r>
    </w:p>
    <w:p>
      <w:pPr>
        <w:keepNext w:val="0"/>
        <w:spacing w:before="0" w:after="60" w:line="264" w:lineRule="auto"/>
      </w:pPr>
      <w:r>
        <w:rPr>
          <w:rFonts w:ascii="Arial Unicode MS" w:hAnsi="Arial Unicode MS" w:eastAsia="Arial Unicode MS"/>
          <w:b/>
          <w:color w:val="1F4D78"/>
          <w:lang w:val="ja-JP" w:eastAsia="ja-JP"/>
        </w:rPr>
        <w:t xml:space="preserve">作成日: </w:t>
      </w:r>
      <w:r>
        <w:rPr>
          <w:rFonts w:ascii="Arial Unicode MS" w:hAnsi="Arial Unicode MS" w:eastAsia="Arial Unicode MS"/>
          <w:color w:val="1F2933"/>
          <w:lang w:val="ja-JP" w:eastAsia="ja-JP"/>
        </w:rPr>
        <w:t>2026-08-26</w:t>
      </w:r>
    </w:p>
    <w:p>
      <w:pPr>
        <w:keepNext w:val="0"/>
        <w:spacing w:before="0" w:after="60" w:line="264" w:lineRule="auto"/>
      </w:pPr>
      <w:r>
        <w:rPr>
          <w:rFonts w:ascii="Arial Unicode MS" w:hAnsi="Arial Unicode MS" w:eastAsia="Arial Unicode MS"/>
          <w:b/>
          <w:color w:val="1F4D78"/>
          <w:lang w:val="ja-JP" w:eastAsia="ja-JP"/>
        </w:rPr>
        <w:t xml:space="preserve">対象: </w:t>
      </w:r>
      <w:r>
        <w:rPr>
          <w:rFonts w:ascii="Arial Unicode MS" w:hAnsi="Arial Unicode MS" w:eastAsia="Arial Unicode MS"/>
          <w:color w:val="1F2933"/>
          <w:lang w:val="ja-JP" w:eastAsia="ja-JP"/>
        </w:rPr>
        <w:t>WMS（Hitluster）／自動補充（Sinops）</w:t>
      </w:r>
    </w:p>
    <w:p>
      <w:pPr>
        <w:keepNext w:val="0"/>
        <w:spacing w:before="0" w:after="60" w:line="264" w:lineRule="auto"/>
      </w:pPr>
      <w:r>
        <w:rPr>
          <w:rFonts w:ascii="Arial Unicode MS" w:hAnsi="Arial Unicode MS" w:eastAsia="Arial Unicode MS"/>
          <w:b/>
          <w:color w:val="1F4D78"/>
          <w:lang w:val="ja-JP" w:eastAsia="ja-JP"/>
        </w:rPr>
        <w:t xml:space="preserve">目的: </w:t>
      </w:r>
      <w:r>
        <w:rPr>
          <w:rFonts w:ascii="Arial Unicode MS" w:hAnsi="Arial Unicode MS" w:eastAsia="Arial Unicode MS"/>
          <w:color w:val="1F2933"/>
          <w:lang w:val="ja-JP" w:eastAsia="ja-JP"/>
        </w:rPr>
        <w:t>設計・開発に着手可能な範囲、阻害要因およびシステム間依存関係の明確化</w:t>
      </w:r>
    </w:p>
    <w:p>
      <w:pPr>
        <w:keepNext w:val="0"/>
        <w:spacing w:before="40" w:after="240" w:line="276" w:lineRule="auto"/>
        <w:ind w:left="173"/>
        <w:shd w:fill="E8EEF5"/>
        <w:pBdr>
          <w:left w:val="single" w:sz="18" w:space="8" w:color="1F4D78"/>
        </w:pBdr>
      </w:pPr>
      <w:r>
        <w:rPr>
          <w:rFonts w:ascii="Arial Unicode MS" w:hAnsi="Arial Unicode MS" w:eastAsia="Arial Unicode MS"/>
          <w:b/>
          <w:color w:val="1F4D78"/>
          <w:lang w:val="ja-JP" w:eastAsia="ja-JP"/>
        </w:rPr>
        <w:t xml:space="preserve">総合判断  </w:t>
      </w:r>
      <w:r>
        <w:rPr>
          <w:rFonts w:ascii="Arial Unicode MS" w:hAnsi="Arial Unicode MS" w:eastAsia="Arial Unicode MS"/>
          <w:color w:val="1F2933"/>
          <w:lang w:val="ja-JP" w:eastAsia="ja-JP"/>
        </w:rPr>
        <w:t>Sinopsは引き続きインターフェース単位で詳細設計・開発に着手可能。WMSは発注区分と税区分が新たにクローズしたが、全体着手は推奨しない。</w:t>
      </w:r>
    </w:p>
    <w:p>
      <w:pPr>
        <w:pStyle w:val="Heading1"/>
        <w:keepNext/>
        <w:spacing w:before="320" w:after="160" w:line="240" w:lineRule="auto"/>
      </w:pPr>
      <w:r>
        <w:rPr>
          <w:rFonts w:ascii="Arial Unicode MS" w:hAnsi="Arial Unicode MS" w:eastAsia="Arial Unicode MS"/>
          <w:b/>
          <w:color w:val="2E74B5"/>
          <w:sz w:val="32"/>
          <w:lang w:val="ja-JP" w:eastAsia="ja-JP"/>
        </w:rPr>
        <w:t>1. QAステータス概要</w:t>
      </w:r>
    </w:p>
    <w:tbl>
      <w:tblPr>
        <w:tblStyle w:val="TableGrid"/>
        <w:tblW w:type="dxa" w:w="9360"/>
        <w:tblLayout w:type="fixed"/>
        <w:tblLook w:firstColumn="1" w:firstRow="1" w:lastColumn="0" w:lastRow="0" w:noHBand="0" w:noVBand="1" w:val="04A0"/>
        <w:jc w:val="left"/>
        <w:tblInd w:w="120" w:type="dxa"/>
      </w:tblPr>
      <w:tblGrid>
        <w:gridCol w:w="1600"/>
        <w:gridCol w:w="1500"/>
        <w:gridCol w:w="2600"/>
        <w:gridCol w:w="3660"/>
      </w:tblGrid>
      <w:tr>
        <w:tc>
          <w:tcPr>
            <w:tcW w:type="dxa" w:w="1600"/>
            <w:tcMar>
              <w:top w:w="80" w:type="dxa"/>
              <w:start w:w="120" w:type="dxa"/>
              <w:bottom w:w="80" w:type="dxa"/>
              <w:end w:w="120" w:type="dxa"/>
            </w:tcMar>
            <w:vAlign w:val="center"/>
            <w:shd w:fill="F2F4F7"/>
          </w:tcPr>
          <w:p>
            <w:pPr>
              <w:keepNext w:val="0"/>
              <w:spacing w:before="0" w:after="0" w:line="240" w:lineRule="auto"/>
              <w:jc w:val="center"/>
            </w:pPr>
            <w:r>
              <w:rPr>
                <w:rFonts w:ascii="Arial Unicode MS" w:hAnsi="Arial Unicode MS" w:eastAsia="Arial Unicode MS"/>
                <w:b/>
                <w:color w:val="1F4D78"/>
                <w:sz w:val="20"/>
                <w:lang w:val="ja-JP" w:eastAsia="ja-JP"/>
              </w:rPr>
              <w:t>課題</w:t>
            </w:r>
          </w:p>
        </w:tc>
        <w:tc>
          <w:tcPr>
            <w:tcW w:type="dxa" w:w="1500"/>
            <w:tcMar>
              <w:top w:w="80" w:type="dxa"/>
              <w:start w:w="120" w:type="dxa"/>
              <w:bottom w:w="80" w:type="dxa"/>
              <w:end w:w="120" w:type="dxa"/>
            </w:tcMar>
            <w:vAlign w:val="center"/>
            <w:shd w:fill="F2F4F7"/>
          </w:tcPr>
          <w:p>
            <w:pPr>
              <w:keepNext w:val="0"/>
              <w:spacing w:before="0" w:after="0" w:line="240" w:lineRule="auto"/>
              <w:jc w:val="center"/>
            </w:pPr>
            <w:r>
              <w:rPr>
                <w:rFonts w:ascii="Arial Unicode MS" w:hAnsi="Arial Unicode MS" w:eastAsia="Arial Unicode MS"/>
                <w:b/>
                <w:color w:val="1F4D78"/>
                <w:sz w:val="20"/>
                <w:lang w:val="ja-JP" w:eastAsia="ja-JP"/>
              </w:rPr>
              <w:t>QA総数</w:t>
            </w:r>
          </w:p>
        </w:tc>
        <w:tc>
          <w:tcPr>
            <w:tcW w:type="dxa" w:w="2600"/>
            <w:tcMar>
              <w:top w:w="80" w:type="dxa"/>
              <w:start w:w="120" w:type="dxa"/>
              <w:bottom w:w="80" w:type="dxa"/>
              <w:end w:w="120" w:type="dxa"/>
            </w:tcMar>
            <w:vAlign w:val="center"/>
            <w:shd w:fill="F2F4F7"/>
          </w:tcPr>
          <w:p>
            <w:pPr>
              <w:keepNext w:val="0"/>
              <w:spacing w:before="0" w:after="0" w:line="240" w:lineRule="auto"/>
              <w:jc w:val="center"/>
            </w:pPr>
            <w:r>
              <w:rPr>
                <w:rFonts w:ascii="Arial Unicode MS" w:hAnsi="Arial Unicode MS" w:eastAsia="Arial Unicode MS"/>
                <w:b/>
                <w:color w:val="1F4D78"/>
                <w:sz w:val="20"/>
                <w:lang w:val="ja-JP" w:eastAsia="ja-JP"/>
              </w:rPr>
              <w:t>ステータス</w:t>
            </w:r>
          </w:p>
        </w:tc>
        <w:tc>
          <w:tcPr>
            <w:tcW w:type="dxa" w:w="3660"/>
            <w:tcMar>
              <w:top w:w="80" w:type="dxa"/>
              <w:start w:w="120" w:type="dxa"/>
              <w:bottom w:w="80" w:type="dxa"/>
              <w:end w:w="120" w:type="dxa"/>
            </w:tcMar>
            <w:vAlign w:val="center"/>
            <w:shd w:fill="F2F4F7"/>
          </w:tcPr>
          <w:p>
            <w:pPr>
              <w:keepNext w:val="0"/>
              <w:spacing w:before="0" w:after="0" w:line="240" w:lineRule="auto"/>
              <w:jc w:val="center"/>
            </w:pPr>
            <w:r>
              <w:rPr>
                <w:rFonts w:ascii="Arial Unicode MS" w:hAnsi="Arial Unicode MS" w:eastAsia="Arial Unicode MS"/>
                <w:b/>
                <w:color w:val="1F4D78"/>
                <w:sz w:val="20"/>
                <w:lang w:val="ja-JP" w:eastAsia="ja-JP"/>
              </w:rPr>
              <w:t>設計・開発判断</w:t>
            </w:r>
          </w:p>
        </w:tc>
      </w:tr>
      <w:tr>
        <w:tc>
          <w:tcPr>
            <w:tcW w:type="dxa" w:w="1600"/>
            <w:tcMar>
              <w:top w:w="80" w:type="dxa"/>
              <w:start w:w="120" w:type="dxa"/>
              <w:bottom w:w="80" w:type="dxa"/>
              <w:end w:w="120" w:type="dxa"/>
            </w:tcMar>
            <w:vAlign w:val="center"/>
          </w:tcPr>
          <w:p>
            <w:pPr>
              <w:keepNext w:val="0"/>
              <w:spacing w:before="0" w:after="0" w:line="252" w:lineRule="auto"/>
              <w:jc w:val="center"/>
            </w:pPr>
            <w:r>
              <w:rPr>
                <w:rFonts w:ascii="Arial Unicode MS" w:hAnsi="Arial Unicode MS" w:eastAsia="Arial Unicode MS"/>
                <w:color w:val="1F2933"/>
                <w:sz w:val="20"/>
                <w:lang w:val="ja-JP" w:eastAsia="ja-JP"/>
              </w:rPr>
              <w:t>WMS</w:t>
            </w:r>
          </w:p>
        </w:tc>
        <w:tc>
          <w:tcPr>
            <w:tcW w:type="dxa" w:w="1500"/>
            <w:tcMar>
              <w:top w:w="80" w:type="dxa"/>
              <w:start w:w="120" w:type="dxa"/>
              <w:bottom w:w="80" w:type="dxa"/>
              <w:end w:w="120" w:type="dxa"/>
            </w:tcMar>
            <w:vAlign w:val="center"/>
          </w:tcPr>
          <w:p>
            <w:pPr>
              <w:keepNext w:val="0"/>
              <w:spacing w:before="0" w:after="0" w:line="252" w:lineRule="auto"/>
              <w:jc w:val="center"/>
            </w:pPr>
            <w:r>
              <w:rPr>
                <w:rFonts w:ascii="Arial Unicode MS" w:hAnsi="Arial Unicode MS" w:eastAsia="Arial Unicode MS"/>
                <w:color w:val="1F2933"/>
                <w:sz w:val="20"/>
                <w:lang w:val="ja-JP" w:eastAsia="ja-JP"/>
              </w:rPr>
              <w:t>63</w:t>
            </w:r>
          </w:p>
        </w:tc>
        <w:tc>
          <w:tcPr>
            <w:tcW w:type="dxa" w:w="2600"/>
            <w:tcMar>
              <w:top w:w="80" w:type="dxa"/>
              <w:start w:w="120" w:type="dxa"/>
              <w:bottom w:w="80" w:type="dxa"/>
              <w:end w:w="120" w:type="dxa"/>
            </w:tcMar>
            <w:vAlign w:val="center"/>
          </w:tcPr>
          <w:p>
            <w:pPr>
              <w:keepNext w:val="0"/>
              <w:spacing w:before="0" w:after="0" w:line="252" w:lineRule="auto"/>
              <w:jc w:val="center"/>
            </w:pPr>
            <w:r>
              <w:rPr>
                <w:rFonts w:ascii="Arial Unicode MS" w:hAnsi="Arial Unicode MS" w:eastAsia="Arial Unicode MS"/>
                <w:color w:val="1F2933"/>
                <w:sz w:val="18"/>
                <w:lang w:val="ja-JP" w:eastAsia="ja-JP"/>
              </w:rPr>
              <w:t>完了43件／未完了20件</w:t>
            </w:r>
          </w:p>
        </w:tc>
        <w:tc>
          <w:tcPr>
            <w:tcW w:type="dxa" w:w="3660"/>
            <w:tcMar>
              <w:top w:w="80" w:type="dxa"/>
              <w:start w:w="120" w:type="dxa"/>
              <w:bottom w:w="80" w:type="dxa"/>
              <w:end w:w="120" w:type="dxa"/>
            </w:tcMar>
            <w:vAlign w:val="center"/>
          </w:tcPr>
          <w:p>
            <w:pPr>
              <w:keepNext w:val="0"/>
              <w:spacing w:before="0" w:after="0" w:line="252" w:lineRule="auto"/>
              <w:jc w:val="left"/>
            </w:pPr>
            <w:r>
              <w:rPr>
                <w:rFonts w:ascii="Arial Unicode MS" w:hAnsi="Arial Unicode MS" w:eastAsia="Arial Unicode MS"/>
                <w:color w:val="1F2933"/>
                <w:sz w:val="20"/>
                <w:lang w:val="ja-JP" w:eastAsia="ja-JP"/>
              </w:rPr>
              <w:t>一部設計GO／全体開発は保留</w:t>
            </w:r>
          </w:p>
        </w:tc>
      </w:tr>
      <w:tr>
        <w:tc>
          <w:tcPr>
            <w:tcW w:type="dxa" w:w="1600"/>
            <w:tcMar>
              <w:top w:w="80" w:type="dxa"/>
              <w:start w:w="120" w:type="dxa"/>
              <w:bottom w:w="80" w:type="dxa"/>
              <w:end w:w="120" w:type="dxa"/>
            </w:tcMar>
            <w:vAlign w:val="center"/>
          </w:tcPr>
          <w:p>
            <w:pPr>
              <w:keepNext w:val="0"/>
              <w:spacing w:before="0" w:after="0" w:line="252" w:lineRule="auto"/>
              <w:jc w:val="center"/>
            </w:pPr>
            <w:r>
              <w:rPr>
                <w:rFonts w:ascii="Arial Unicode MS" w:hAnsi="Arial Unicode MS" w:eastAsia="Arial Unicode MS"/>
                <w:color w:val="1F2933"/>
                <w:sz w:val="20"/>
                <w:lang w:val="ja-JP" w:eastAsia="ja-JP"/>
              </w:rPr>
              <w:t>Sinops</w:t>
            </w:r>
          </w:p>
        </w:tc>
        <w:tc>
          <w:tcPr>
            <w:tcW w:type="dxa" w:w="1500"/>
            <w:tcMar>
              <w:top w:w="80" w:type="dxa"/>
              <w:start w:w="120" w:type="dxa"/>
              <w:bottom w:w="80" w:type="dxa"/>
              <w:end w:w="120" w:type="dxa"/>
            </w:tcMar>
            <w:vAlign w:val="center"/>
          </w:tcPr>
          <w:p>
            <w:pPr>
              <w:keepNext w:val="0"/>
              <w:spacing w:before="0" w:after="0" w:line="252" w:lineRule="auto"/>
              <w:jc w:val="center"/>
            </w:pPr>
            <w:r>
              <w:rPr>
                <w:rFonts w:ascii="Arial Unicode MS" w:hAnsi="Arial Unicode MS" w:eastAsia="Arial Unicode MS"/>
                <w:color w:val="1F2933"/>
                <w:sz w:val="20"/>
                <w:lang w:val="ja-JP" w:eastAsia="ja-JP"/>
              </w:rPr>
              <w:t>81</w:t>
            </w:r>
          </w:p>
        </w:tc>
        <w:tc>
          <w:tcPr>
            <w:tcW w:type="dxa" w:w="2600"/>
            <w:tcMar>
              <w:top w:w="80" w:type="dxa"/>
              <w:start w:w="120" w:type="dxa"/>
              <w:bottom w:w="80" w:type="dxa"/>
              <w:end w:w="120" w:type="dxa"/>
            </w:tcMar>
            <w:vAlign w:val="center"/>
          </w:tcPr>
          <w:p>
            <w:pPr>
              <w:keepNext w:val="0"/>
              <w:spacing w:before="0" w:after="0" w:line="252" w:lineRule="auto"/>
              <w:jc w:val="center"/>
            </w:pPr>
            <w:r>
              <w:rPr>
                <w:rFonts w:ascii="Arial Unicode MS" w:hAnsi="Arial Unicode MS" w:eastAsia="Arial Unicode MS"/>
                <w:color w:val="1F2933"/>
                <w:sz w:val="18"/>
                <w:lang w:val="ja-JP" w:eastAsia="ja-JP"/>
              </w:rPr>
              <w:t>完了66件／未完了15件</w:t>
            </w:r>
          </w:p>
        </w:tc>
        <w:tc>
          <w:tcPr>
            <w:tcW w:type="dxa" w:w="3660"/>
            <w:tcMar>
              <w:top w:w="80" w:type="dxa"/>
              <w:start w:w="120" w:type="dxa"/>
              <w:bottom w:w="80" w:type="dxa"/>
              <w:end w:w="120" w:type="dxa"/>
            </w:tcMar>
            <w:vAlign w:val="center"/>
          </w:tcPr>
          <w:p>
            <w:pPr>
              <w:keepNext w:val="0"/>
              <w:spacing w:before="0" w:after="0" w:line="252" w:lineRule="auto"/>
              <w:jc w:val="left"/>
            </w:pPr>
            <w:r>
              <w:rPr>
                <w:rFonts w:ascii="Arial Unicode MS" w:hAnsi="Arial Unicode MS" w:eastAsia="Arial Unicode MS"/>
                <w:color w:val="1F2933"/>
                <w:sz w:val="20"/>
                <w:lang w:val="ja-JP" w:eastAsia="ja-JP"/>
              </w:rPr>
              <w:t>条件付きGO／段階開発可</w:t>
            </w:r>
          </w:p>
        </w:tc>
      </w:tr>
    </w:tbl>
    <w:p>
      <w:pPr>
        <w:keepNext w:val="0"/>
        <w:spacing w:before="80" w:after="160" w:line="264" w:lineRule="auto"/>
      </w:pPr>
      <w:r>
        <w:rPr>
          <w:rFonts w:ascii="Arial Unicode MS" w:hAnsi="Arial Unicode MS" w:eastAsia="Arial Unicode MS"/>
          <w:color w:val="667085"/>
          <w:sz w:val="18"/>
          <w:lang w:val="ja-JP" w:eastAsia="ja-JP"/>
        </w:rPr>
        <w:t>注：ステータス集計はQA表のシステム列およびステータス列に基づく。中止・空欄のレコードは解決済みとはみなしていない。</w:t>
      </w:r>
    </w:p>
    <w:p>
      <w:pPr>
        <w:pStyle w:val="Heading1"/>
        <w:keepNext/>
        <w:spacing w:before="320" w:after="160" w:line="240" w:lineRule="auto"/>
      </w:pPr>
      <w:r>
        <w:rPr>
          <w:rFonts w:ascii="Arial Unicode MS" w:hAnsi="Arial Unicode MS" w:eastAsia="Arial Unicode MS"/>
          <w:b/>
          <w:color w:val="2E74B5"/>
          <w:sz w:val="32"/>
          <w:lang w:val="ja-JP" w:eastAsia="ja-JP"/>
        </w:rPr>
        <w:t>2. 課題1：WMS（Hitluster）</w:t>
      </w:r>
    </w:p>
    <w:p>
      <w:pPr>
        <w:keepNext w:val="0"/>
        <w:spacing w:before="40" w:after="240" w:line="276" w:lineRule="auto"/>
        <w:ind w:left="173"/>
        <w:shd w:fill="FFF8E8"/>
        <w:pBdr>
          <w:left w:val="single" w:sz="18" w:space="8" w:color="7A5A00"/>
        </w:pBdr>
      </w:pPr>
      <w:r>
        <w:rPr>
          <w:rFonts w:ascii="Arial Unicode MS" w:hAnsi="Arial Unicode MS" w:eastAsia="Arial Unicode MS"/>
          <w:b/>
          <w:color w:val="7A5A00"/>
          <w:lang w:val="ja-JP" w:eastAsia="ja-JP"/>
        </w:rPr>
        <w:t xml:space="preserve">結論  </w:t>
      </w:r>
      <w:r>
        <w:rPr>
          <w:rFonts w:ascii="Arial Unicode MS" w:hAnsi="Arial Unicode MS" w:eastAsia="Arial Unicode MS"/>
          <w:color w:val="1F2933"/>
          <w:lang w:val="ja-JP" w:eastAsia="ja-JP"/>
        </w:rPr>
        <w:t>発注区分と税区分の取得元はクローズしたが、マスタ、物流属性、入荷集約、会計および在庫整合性のルールは未確定。</w:t>
      </w:r>
    </w:p>
    <w:p>
      <w:pPr>
        <w:pStyle w:val="Heading2"/>
        <w:keepNext/>
        <w:spacing w:before="240" w:after="120" w:line="240" w:lineRule="auto"/>
      </w:pPr>
      <w:r>
        <w:rPr>
          <w:rFonts w:ascii="Arial Unicode MS" w:hAnsi="Arial Unicode MS" w:eastAsia="Arial Unicode MS"/>
          <w:b/>
          <w:color w:val="2E74B5"/>
          <w:sz w:val="26"/>
          <w:lang w:val="ja-JP" w:eastAsia="ja-JP"/>
        </w:rPr>
        <w:t>2.1 詳細設計に着手可能な内容</w:t>
      </w:r>
    </w:p>
    <w:p>
      <w:pPr>
        <w:pStyle w:val="ListBullet"/>
        <w:keepNext w:val="0"/>
        <w:spacing w:before="0" w:after="160" w:line="280" w:lineRule="auto"/>
        <w:ind w:left="720" w:hanging="360"/>
      </w:pPr>
      <w:r>
        <w:rPr>
          <w:rFonts w:ascii="Arial Unicode MS" w:hAnsi="Arial Unicode MS" w:eastAsia="Arial Unicode MS"/>
          <w:color w:val="1F2933"/>
          <w:lang w:val="ja-JP" w:eastAsia="ja-JP"/>
        </w:rPr>
        <w:t>商品、分類、店舗、取引先など、基礎インターフェース資料およびサンプルは概ね入手済み。</w:t>
      </w:r>
    </w:p>
    <w:p>
      <w:pPr>
        <w:pStyle w:val="ListBullet"/>
        <w:keepNext w:val="0"/>
        <w:spacing w:before="0" w:after="160" w:line="280" w:lineRule="auto"/>
        <w:ind w:left="720" w:hanging="360"/>
      </w:pPr>
      <w:r>
        <w:rPr>
          <w:rFonts w:ascii="Arial Unicode MS" w:hAnsi="Arial Unicode MS" w:eastAsia="Arial Unicode MS"/>
          <w:color w:val="1F2933"/>
          <w:lang w:val="ja-JP" w:eastAsia="ja-JP"/>
        </w:rPr>
        <w:t>商品階層は「部門→大分類→中分類→小分類→細分類」を採用することで確認済み。</w:t>
      </w:r>
    </w:p>
    <w:p>
      <w:pPr>
        <w:pStyle w:val="ListBullet"/>
        <w:keepNext w:val="0"/>
        <w:spacing w:before="0" w:after="160" w:line="280" w:lineRule="auto"/>
        <w:ind w:left="720" w:hanging="360"/>
      </w:pPr>
      <w:r>
        <w:rPr>
          <w:rFonts w:ascii="Arial Unicode MS" w:hAnsi="Arial Unicode MS" w:eastAsia="Arial Unicode MS"/>
          <w:color w:val="1F2933"/>
          <w:lang w:val="ja-JP" w:eastAsia="ja-JP"/>
        </w:rPr>
        <w:t>一部の固定値・コードルールは確認済み。発注区分対応表はWMSコード変換表へ記載され、仕入伝票の税区分取得元も確認済み。</w:t>
      </w:r>
    </w:p>
    <w:p>
      <w:pPr>
        <w:pStyle w:val="ListBullet"/>
        <w:keepNext w:val="0"/>
        <w:spacing w:before="0" w:after="160" w:line="280" w:lineRule="auto"/>
        <w:ind w:left="720" w:hanging="360"/>
      </w:pPr>
      <w:r>
        <w:rPr>
          <w:rFonts w:ascii="Arial Unicode MS" w:hAnsi="Arial Unicode MS" w:eastAsia="Arial Unicode MS"/>
          <w:color w:val="1F2933"/>
          <w:lang w:val="ja-JP" w:eastAsia="ja-JP"/>
        </w:rPr>
        <w:t>在庫インターフェースの基本形は明確化済み。在庫一覧は日次全量、在庫調整は差分とし、倉庫コードは西友の既存6桁を維持、更新日時には受信時刻を使用する。</w:t>
      </w:r>
    </w:p>
    <w:p>
      <w:pPr>
        <w:pStyle w:val="Heading2"/>
        <w:keepNext/>
        <w:spacing w:before="240" w:after="120" w:line="240" w:lineRule="auto"/>
      </w:pPr>
      <w:r>
        <w:rPr>
          <w:rFonts w:ascii="Arial Unicode MS" w:hAnsi="Arial Unicode MS" w:eastAsia="Arial Unicode MS"/>
          <w:b/>
          <w:color w:val="2E74B5"/>
          <w:sz w:val="26"/>
          <w:lang w:val="ja-JP" w:eastAsia="ja-JP"/>
        </w:rPr>
        <w:t>2.2 設計・開発を阻害する未決事項</w:t>
      </w:r>
    </w:p>
    <w:p>
      <w:pPr>
        <w:pStyle w:val="ListBullet"/>
        <w:keepNext w:val="0"/>
        <w:spacing w:before="0" w:after="160" w:line="280" w:lineRule="auto"/>
        <w:ind w:left="720" w:hanging="360"/>
      </w:pPr>
      <w:r>
        <w:rPr>
          <w:rFonts w:ascii="Arial Unicode MS" w:hAnsi="Arial Unicode MS" w:eastAsia="Arial Unicode MS"/>
          <w:b/>
          <w:color w:val="1F4D78"/>
          <w:lang w:val="ja-JP" w:eastAsia="ja-JP"/>
        </w:rPr>
        <w:t>商品物流属性：</w:t>
      </w:r>
      <w:r>
        <w:rPr>
          <w:rFonts w:ascii="Arial Unicode MS" w:hAnsi="Arial Unicode MS" w:eastAsia="Arial Unicode MS"/>
          <w:color w:val="1F2933"/>
          <w:lang w:val="ja-JP" w:eastAsia="ja-JP"/>
        </w:rPr>
        <w:t>DC Location、ロット管理、パレット段数、ITF一対多、便区分、発注単位、DC Pack、Case入数、出荷荷姿について、統一的な管理方法が未定。便区分は実運用上の必須項目であることを確認済み。</w:t>
      </w:r>
    </w:p>
    <w:p>
      <w:pPr>
        <w:pStyle w:val="ListBullet"/>
        <w:keepNext w:val="0"/>
        <w:spacing w:before="0" w:after="160" w:line="280" w:lineRule="auto"/>
        <w:ind w:left="720" w:hanging="360"/>
      </w:pPr>
      <w:r>
        <w:rPr>
          <w:rFonts w:ascii="Arial Unicode MS" w:hAnsi="Arial Unicode MS" w:eastAsia="Arial Unicode MS"/>
          <w:b/>
          <w:color w:val="1F4D78"/>
          <w:lang w:val="ja-JP" w:eastAsia="ja-JP"/>
        </w:rPr>
        <w:t>コード・マスタ：</w:t>
      </w:r>
      <w:r>
        <w:rPr>
          <w:rFonts w:ascii="Arial Unicode MS" w:hAnsi="Arial Unicode MS" w:eastAsia="Arial Unicode MS"/>
          <w:color w:val="1F2933"/>
          <w:lang w:val="ja-JP" w:eastAsia="ja-JP"/>
        </w:rPr>
        <w:t>出荷先に旧西友コードとTRIALコードのどちらを使用するか、商品分類の使用階層は未確定。ASN区分はTRIAL側に対応項目がなく、仕入先マスタ連携で対応予定だが、変換・デフォルトルールは未完成。</w:t>
      </w:r>
    </w:p>
    <w:p>
      <w:pPr>
        <w:pStyle w:val="ListBullet"/>
        <w:keepNext w:val="0"/>
        <w:spacing w:before="0" w:after="160" w:line="280" w:lineRule="auto"/>
        <w:ind w:left="720" w:hanging="360"/>
      </w:pPr>
      <w:r>
        <w:rPr>
          <w:rFonts w:ascii="Arial Unicode MS" w:hAnsi="Arial Unicode MS" w:eastAsia="Arial Unicode MS"/>
          <w:b/>
          <w:color w:val="1F4D78"/>
          <w:lang w:val="ja-JP" w:eastAsia="ja-JP"/>
        </w:rPr>
        <w:t>入荷予定・伝票：</w:t>
      </w:r>
      <w:r>
        <w:rPr>
          <w:rFonts w:ascii="Arial Unicode MS" w:hAnsi="Arial Unicode MS" w:eastAsia="Arial Unicode MS"/>
          <w:color w:val="1F2933"/>
          <w:lang w:val="ja-JP" w:eastAsia="ja-JP"/>
        </w:rPr>
        <w:t>TC総量の入荷予定は店舗単位からセンター単位へ集約する必要がある。課題はDC入荷予定マッピング表に記載されたが、検品倉庫コード、センター伝票ID、採番ルールは未回答。入荷実績から仕入伝票を生成する際の金額と一部伝票属性も不足している。</w:t>
      </w:r>
    </w:p>
    <w:p>
      <w:pPr>
        <w:pStyle w:val="ListBullet"/>
        <w:keepNext w:val="0"/>
        <w:spacing w:before="0" w:after="160" w:line="280" w:lineRule="auto"/>
        <w:ind w:left="720" w:hanging="360"/>
      </w:pPr>
      <w:r>
        <w:rPr>
          <w:rFonts w:ascii="Arial Unicode MS" w:hAnsi="Arial Unicode MS" w:eastAsia="Arial Unicode MS"/>
          <w:b/>
          <w:color w:val="1F4D78"/>
          <w:lang w:val="ja-JP" w:eastAsia="ja-JP"/>
        </w:rPr>
        <w:t>原価・会計：</w:t>
      </w:r>
      <w:r>
        <w:rPr>
          <w:rFonts w:ascii="Arial Unicode MS" w:hAnsi="Arial Unicode MS" w:eastAsia="Arial Unicode MS"/>
          <w:color w:val="1F2933"/>
          <w:lang w:val="ja-JP" w:eastAsia="ja-JP"/>
        </w:rPr>
        <w:t>移動平均単価とTRIAL総平均単価の統一方針、保持先、算出責任が未決定。税区分の取得元は確認済みで、阻害要因から除外できる。</w:t>
      </w:r>
    </w:p>
    <w:p>
      <w:pPr>
        <w:pStyle w:val="ListBullet"/>
        <w:keepNext w:val="0"/>
        <w:spacing w:before="0" w:after="160" w:line="280" w:lineRule="auto"/>
        <w:ind w:left="720" w:hanging="360"/>
      </w:pPr>
      <w:r>
        <w:rPr>
          <w:rFonts w:ascii="Arial Unicode MS" w:hAnsi="Arial Unicode MS" w:eastAsia="Arial Unicode MS"/>
          <w:b/>
          <w:color w:val="1F4D78"/>
          <w:lang w:val="ja-JP" w:eastAsia="ja-JP"/>
        </w:rPr>
        <w:t>業務スコープ：</w:t>
      </w:r>
      <w:r>
        <w:rPr>
          <w:rFonts w:ascii="Arial Unicode MS" w:hAnsi="Arial Unicode MS" w:eastAsia="Arial Unicode MS"/>
          <w:color w:val="1F2933"/>
          <w:lang w:val="ja-JP" w:eastAsia="ja-JP"/>
        </w:rPr>
        <w:t>返品・廃棄は実際にはTCで処理していることを確認済みだが、今回スコープから完全除外するかは協議中。非発注型振替は保留。</w:t>
      </w:r>
    </w:p>
    <w:p>
      <w:pPr>
        <w:pStyle w:val="ListBullet"/>
        <w:keepNext w:val="0"/>
        <w:spacing w:before="0" w:after="160" w:line="280" w:lineRule="auto"/>
        <w:ind w:left="720" w:hanging="360"/>
      </w:pPr>
      <w:r>
        <w:rPr>
          <w:rFonts w:ascii="Arial Unicode MS" w:hAnsi="Arial Unicode MS" w:eastAsia="Arial Unicode MS"/>
          <w:b/>
          <w:color w:val="1F4D78"/>
          <w:lang w:val="ja-JP" w:eastAsia="ja-JP"/>
        </w:rPr>
        <w:t>在庫整合性：</w:t>
      </w:r>
      <w:r>
        <w:rPr>
          <w:rFonts w:ascii="Arial Unicode MS" w:hAnsi="Arial Unicode MS" w:eastAsia="Arial Unicode MS"/>
          <w:color w:val="1F2933"/>
          <w:lang w:val="ja-JP" w:eastAsia="ja-JP"/>
        </w:rPr>
        <w:t>全量・差分の厳密な適用順序、排他制御、冪等性、失敗時リトライ、全量ファイル欠落時のフォールバックが実装可能な設計ルールに落ちていない。</w:t>
      </w:r>
    </w:p>
    <w:p>
      <w:pPr>
        <w:pStyle w:val="Heading2"/>
        <w:keepNext/>
        <w:spacing w:before="240" w:after="120" w:line="240" w:lineRule="auto"/>
      </w:pPr>
      <w:r>
        <w:rPr>
          <w:rFonts w:ascii="Arial Unicode MS" w:hAnsi="Arial Unicode MS" w:eastAsia="Arial Unicode MS"/>
          <w:b/>
          <w:color w:val="2E74B5"/>
          <w:sz w:val="26"/>
          <w:lang w:val="ja-JP" w:eastAsia="ja-JP"/>
        </w:rPr>
        <w:t>2.3 QAステータス上の残存リスク</w:t>
      </w:r>
    </w:p>
    <w:p>
      <w:pPr>
        <w:keepNext w:val="0"/>
        <w:spacing w:before="0" w:after="120" w:line="264" w:lineRule="auto"/>
      </w:pPr>
      <w:r>
        <w:rPr>
          <w:rFonts w:ascii="Arial Unicode MS" w:hAnsi="Arial Unicode MS" w:eastAsia="Arial Unicode MS"/>
          <w:color w:val="1F2933"/>
          <w:lang w:val="ja-JP" w:eastAsia="ja-JP"/>
        </w:rPr>
        <w:t>以下は「完了」とされているものの、回答が「詳細設計時に協議」または「継続確認」となっており、実質的なクローズとはみなせない。</w:t>
      </w:r>
    </w:p>
    <w:p>
      <w:pPr>
        <w:pStyle w:val="ListBullet"/>
        <w:keepNext w:val="0"/>
        <w:spacing w:before="0" w:after="160" w:line="280" w:lineRule="auto"/>
        <w:ind w:left="720" w:hanging="360"/>
      </w:pPr>
      <w:r>
        <w:rPr>
          <w:rFonts w:ascii="Arial Unicode MS" w:hAnsi="Arial Unicode MS" w:eastAsia="Arial Unicode MS"/>
          <w:color w:val="9B1C1C"/>
          <w:lang w:val="ja-JP" w:eastAsia="ja-JP"/>
        </w:rPr>
        <w:t>在庫全量・差分の適用順序および利用場面。</w:t>
      </w:r>
    </w:p>
    <w:p>
      <w:pPr>
        <w:pStyle w:val="ListBullet"/>
        <w:keepNext w:val="0"/>
        <w:spacing w:before="0" w:after="160" w:line="280" w:lineRule="auto"/>
        <w:ind w:left="720" w:hanging="360"/>
      </w:pPr>
      <w:r>
        <w:rPr>
          <w:rFonts w:ascii="Arial Unicode MS" w:hAnsi="Arial Unicode MS" w:eastAsia="Arial Unicode MS"/>
          <w:color w:val="9B1C1C"/>
          <w:lang w:val="ja-JP" w:eastAsia="ja-JP"/>
        </w:rPr>
        <w:t>全量データ欠落時のフォールバック方針。</w:t>
      </w:r>
    </w:p>
    <w:p>
      <w:pPr>
        <w:pStyle w:val="ListBullet"/>
        <w:keepNext w:val="0"/>
        <w:spacing w:before="0" w:after="160" w:line="280" w:lineRule="auto"/>
        <w:ind w:left="720" w:hanging="360"/>
      </w:pPr>
      <w:r>
        <w:rPr>
          <w:rFonts w:ascii="Arial Unicode MS" w:hAnsi="Arial Unicode MS" w:eastAsia="Arial Unicode MS"/>
          <w:color w:val="9B1C1C"/>
          <w:lang w:val="ja-JP" w:eastAsia="ja-JP"/>
        </w:rPr>
        <w:t>在庫調整の排他制御およびエラー時リトライ。</w:t>
      </w:r>
    </w:p>
    <w:p>
      <w:pPr>
        <w:pStyle w:val="ListBullet"/>
        <w:keepNext w:val="0"/>
        <w:spacing w:before="0" w:after="160" w:line="280" w:lineRule="auto"/>
        <w:ind w:left="720" w:hanging="360"/>
      </w:pPr>
      <w:r>
        <w:rPr>
          <w:rFonts w:ascii="Arial Unicode MS" w:hAnsi="Arial Unicode MS" w:eastAsia="Arial Unicode MS"/>
          <w:color w:val="9B1C1C"/>
          <w:lang w:val="ja-JP" w:eastAsia="ja-JP"/>
        </w:rPr>
        <w:t>ITF一対多の同期方式、商品重量の将来的な利用要否。</w:t>
      </w:r>
    </w:p>
    <w:p>
      <w:pPr>
        <w:pStyle w:val="Heading1"/>
        <w:keepNext/>
        <w:spacing w:before="320" w:after="160" w:line="240" w:lineRule="auto"/>
      </w:pPr>
      <w:r>
        <w:rPr>
          <w:rFonts w:ascii="Arial Unicode MS" w:hAnsi="Arial Unicode MS" w:eastAsia="Arial Unicode MS"/>
          <w:b/>
          <w:color w:val="2E74B5"/>
          <w:sz w:val="32"/>
          <w:lang w:val="ja-JP" w:eastAsia="ja-JP"/>
        </w:rPr>
        <w:t>3. 課題2：自動補充（Sinops）</w:t>
      </w:r>
    </w:p>
    <w:p>
      <w:pPr>
        <w:keepNext w:val="0"/>
        <w:spacing w:before="40" w:after="240" w:line="276" w:lineRule="auto"/>
        <w:ind w:left="173"/>
        <w:shd w:fill="E8EEF5"/>
        <w:pBdr>
          <w:left w:val="single" w:sz="18" w:space="8" w:color="1F4D78"/>
        </w:pBdr>
      </w:pPr>
      <w:r>
        <w:rPr>
          <w:rFonts w:ascii="Arial Unicode MS" w:hAnsi="Arial Unicode MS" w:eastAsia="Arial Unicode MS"/>
          <w:b/>
          <w:color w:val="1F4D78"/>
          <w:lang w:val="ja-JP" w:eastAsia="ja-JP"/>
        </w:rPr>
        <w:t xml:space="preserve">結論  </w:t>
      </w:r>
      <w:r>
        <w:rPr>
          <w:rFonts w:ascii="Arial Unicode MS" w:hAnsi="Arial Unicode MS" w:eastAsia="Arial Unicode MS"/>
          <w:color w:val="1F2933"/>
          <w:lang w:val="ja-JP" w:eastAsia="ja-JP"/>
        </w:rPr>
        <w:t>完了率は81.5%に達しており、多くのインターフェースは設計に着手可能。未決事項はインターフェース単位で切り分けられるため、全体開発を停止する必要はない。</w:t>
      </w:r>
    </w:p>
    <w:p>
      <w:pPr>
        <w:pStyle w:val="Heading2"/>
        <w:keepNext/>
        <w:spacing w:before="240" w:after="120" w:line="240" w:lineRule="auto"/>
      </w:pPr>
      <w:r>
        <w:rPr>
          <w:rFonts w:ascii="Arial Unicode MS" w:hAnsi="Arial Unicode MS" w:eastAsia="Arial Unicode MS"/>
          <w:b/>
          <w:color w:val="2E74B5"/>
          <w:sz w:val="26"/>
          <w:lang w:val="ja-JP" w:eastAsia="ja-JP"/>
        </w:rPr>
        <w:t>3.1 今回QAによる主な更新</w:t>
      </w:r>
    </w:p>
    <w:p>
      <w:pPr>
        <w:pStyle w:val="ListBullet"/>
        <w:keepNext w:val="0"/>
        <w:spacing w:before="0" w:after="160" w:line="280" w:lineRule="auto"/>
        <w:ind w:left="720" w:hanging="360"/>
      </w:pPr>
      <w:r>
        <w:rPr>
          <w:rFonts w:ascii="Arial Unicode MS" w:hAnsi="Arial Unicode MS" w:eastAsia="Arial Unicode MS"/>
          <w:color w:val="1F2933"/>
          <w:lang w:val="ja-JP" w:eastAsia="ja-JP"/>
        </w:rPr>
        <w:t>Sinopsの完了件数は66件を維持。新商品在庫課題は「未対応」から「対応中」へ変更。</w:t>
      </w:r>
    </w:p>
    <w:p>
      <w:pPr>
        <w:pStyle w:val="ListBullet"/>
        <w:keepNext w:val="0"/>
        <w:spacing w:before="0" w:after="160" w:line="280" w:lineRule="auto"/>
        <w:ind w:left="720" w:hanging="360"/>
      </w:pPr>
      <w:r>
        <w:rPr>
          <w:rFonts w:ascii="Arial Unicode MS" w:hAnsi="Arial Unicode MS" w:eastAsia="Arial Unicode MS"/>
          <w:color w:val="1F2933"/>
          <w:lang w:val="ja-JP" w:eastAsia="ja-JP"/>
        </w:rPr>
        <w:t>棚割連携は西友DWH経由とする回答が追加されたが、同時に追加されたQAで直結かDWH経由かが再度問われており、最終経路の統一が必要。</w:t>
      </w:r>
    </w:p>
    <w:p>
      <w:pPr>
        <w:pStyle w:val="ListBullet"/>
        <w:keepNext w:val="0"/>
        <w:spacing w:before="0" w:after="160" w:line="280" w:lineRule="auto"/>
        <w:ind w:left="720" w:hanging="360"/>
      </w:pPr>
      <w:r>
        <w:rPr>
          <w:rFonts w:ascii="Arial Unicode MS" w:hAnsi="Arial Unicode MS" w:eastAsia="Arial Unicode MS"/>
          <w:color w:val="1F2933"/>
          <w:lang w:val="ja-JP" w:eastAsia="ja-JP"/>
        </w:rPr>
        <w:t>棚割実装に関するQAが7件追加された。4件は未対応、3件はステータス空欄で、段数変換、PACER、多箇所陳列、OrderUserType、NewRange、カテゴリ粒度、チェーン売場を含む。</w:t>
      </w:r>
    </w:p>
    <w:p>
      <w:pPr>
        <w:pStyle w:val="ListBullet"/>
        <w:keepNext w:val="0"/>
        <w:spacing w:before="0" w:after="160" w:line="280" w:lineRule="auto"/>
        <w:ind w:left="720" w:hanging="360"/>
      </w:pPr>
      <w:r>
        <w:rPr>
          <w:rFonts w:ascii="Arial Unicode MS" w:hAnsi="Arial Unicode MS" w:eastAsia="Arial Unicode MS"/>
          <w:color w:val="1F2933"/>
          <w:lang w:val="ja-JP" w:eastAsia="ja-JP"/>
        </w:rPr>
        <w:t>発注種別、受払明細、取引先休日などのクローズ済みルールは、引き続き設計・開発に利用可能。</w:t>
      </w:r>
    </w:p>
    <w:p>
      <w:pPr>
        <w:pStyle w:val="ListBullet"/>
        <w:keepNext w:val="0"/>
        <w:spacing w:before="0" w:after="160" w:line="280" w:lineRule="auto"/>
        <w:ind w:left="720" w:hanging="360"/>
      </w:pPr>
      <w:r>
        <w:rPr>
          <w:rFonts w:ascii="Arial Unicode MS" w:hAnsi="Arial Unicode MS" w:eastAsia="Arial Unicode MS"/>
          <w:color w:val="1F2933"/>
          <w:lang w:val="ja-JP" w:eastAsia="ja-JP"/>
        </w:rPr>
        <w:t>新商品在庫はStore Manager → 西友DWHの基本経路を継続し、SinopsがDWH棚割データを参照する。外部インターフェース、必要項目、実装責任は未確定。</w:t>
      </w:r>
    </w:p>
    <w:p>
      <w:pPr>
        <w:pStyle w:val="Heading2"/>
        <w:keepNext/>
        <w:spacing w:before="240" w:after="120" w:line="240" w:lineRule="auto"/>
      </w:pPr>
      <w:r>
        <w:rPr>
          <w:rFonts w:ascii="Arial Unicode MS" w:hAnsi="Arial Unicode MS" w:eastAsia="Arial Unicode MS"/>
          <w:b/>
          <w:color w:val="2E74B5"/>
          <w:sz w:val="26"/>
          <w:lang w:val="ja-JP" w:eastAsia="ja-JP"/>
        </w:rPr>
        <w:t>3.2 クローズが必要な主要課題</w:t>
      </w:r>
    </w:p>
    <w:p>
      <w:pPr>
        <w:pStyle w:val="ListBullet"/>
        <w:keepNext w:val="0"/>
        <w:spacing w:before="0" w:after="160" w:line="280" w:lineRule="auto"/>
        <w:ind w:left="720" w:hanging="360"/>
      </w:pPr>
      <w:r>
        <w:rPr>
          <w:rFonts w:ascii="Arial Unicode MS" w:hAnsi="Arial Unicode MS" w:eastAsia="Arial Unicode MS"/>
          <w:b/>
          <w:color w:val="1F4D78"/>
          <w:lang w:val="ja-JP" w:eastAsia="ja-JP"/>
        </w:rPr>
        <w:t>便区分：</w:t>
      </w:r>
      <w:r>
        <w:rPr>
          <w:rFonts w:ascii="Arial Unicode MS" w:hAnsi="Arial Unicode MS" w:eastAsia="Arial Unicode MS"/>
          <w:color w:val="1F2933"/>
          <w:lang w:val="ja-JP" w:eastAsia="ja-JP"/>
        </w:rPr>
        <w:t>入荷予定・入荷実績の便区分は必須／Key項目だが、TRIAL側に安定した取得元がない。固定値とするか、別テーブルから補完するか未決定。</w:t>
      </w:r>
    </w:p>
    <w:p>
      <w:pPr>
        <w:pStyle w:val="ListBullet"/>
        <w:keepNext w:val="0"/>
        <w:spacing w:before="0" w:after="160" w:line="280" w:lineRule="auto"/>
        <w:ind w:left="720" w:hanging="360"/>
      </w:pPr>
      <w:r>
        <w:rPr>
          <w:rFonts w:ascii="Arial Unicode MS" w:hAnsi="Arial Unicode MS" w:eastAsia="Arial Unicode MS"/>
          <w:b/>
          <w:color w:val="1F4D78"/>
          <w:lang w:val="ja-JP" w:eastAsia="ja-JP"/>
        </w:rPr>
        <w:t>前日24時在庫スナップショット：</w:t>
      </w:r>
      <w:r>
        <w:rPr>
          <w:rFonts w:ascii="Arial Unicode MS" w:hAnsi="Arial Unicode MS" w:eastAsia="Arial Unicode MS"/>
          <w:color w:val="1F2933"/>
          <w:lang w:val="ja-JP" w:eastAsia="ja-JP"/>
        </w:rPr>
        <w:t>Sinopsは前日24:00時点の在庫を必要とするが、Shinise側スナップショットは確認中。</w:t>
      </w:r>
    </w:p>
    <w:p>
      <w:pPr>
        <w:pStyle w:val="ListBullet"/>
        <w:keepNext w:val="0"/>
        <w:spacing w:before="0" w:after="160" w:line="280" w:lineRule="auto"/>
        <w:ind w:left="720" w:hanging="360"/>
      </w:pPr>
      <w:r>
        <w:rPr>
          <w:rFonts w:ascii="Arial Unicode MS" w:hAnsi="Arial Unicode MS" w:eastAsia="Arial Unicode MS"/>
          <w:b/>
          <w:color w:val="1F4D78"/>
          <w:lang w:val="ja-JP" w:eastAsia="ja-JP"/>
        </w:rPr>
        <w:t>棚割インターフェース：</w:t>
      </w:r>
      <w:r>
        <w:rPr>
          <w:rFonts w:ascii="Arial Unicode MS" w:hAnsi="Arial Unicode MS" w:eastAsia="Arial Unicode MS"/>
          <w:color w:val="1F2933"/>
          <w:lang w:val="ja-JP" w:eastAsia="ja-JP"/>
        </w:rPr>
        <w:t>「西友DWH経由」とする回答は追加されたが、新QAでは直結かDWH経由かが未確定。段数0/1変換、二重商品・PACER、多箇所陳列、OrderUserType、NewRange、カテゴリ粒度、チェーン売場の利用範囲も未クローズ。</w:t>
      </w:r>
    </w:p>
    <w:p>
      <w:pPr>
        <w:pStyle w:val="ListBullet"/>
        <w:keepNext w:val="0"/>
        <w:spacing w:before="0" w:after="160" w:line="280" w:lineRule="auto"/>
        <w:ind w:left="720" w:hanging="360"/>
      </w:pPr>
      <w:r>
        <w:rPr>
          <w:rFonts w:ascii="Arial Unicode MS" w:hAnsi="Arial Unicode MS" w:eastAsia="Arial Unicode MS"/>
          <w:b/>
          <w:color w:val="1F4D78"/>
          <w:lang w:val="ja-JP" w:eastAsia="ja-JP"/>
        </w:rPr>
        <w:t>Case／バラ変換：</w:t>
      </w:r>
      <w:r>
        <w:rPr>
          <w:rFonts w:ascii="Arial Unicode MS" w:hAnsi="Arial Unicode MS" w:eastAsia="Arial Unicode MS"/>
          <w:color w:val="1F2933"/>
          <w:lang w:val="ja-JP" w:eastAsia="ja-JP"/>
        </w:rPr>
        <w:t>新旧商品の関係が店舗ごとに異なる場合、商品単位データへどのように集約するか未確定。</w:t>
      </w:r>
    </w:p>
    <w:p>
      <w:pPr>
        <w:pStyle w:val="ListBullet"/>
        <w:keepNext w:val="0"/>
        <w:spacing w:before="0" w:after="160" w:line="280" w:lineRule="auto"/>
        <w:ind w:left="720" w:hanging="360"/>
      </w:pPr>
      <w:r>
        <w:rPr>
          <w:rFonts w:ascii="Arial Unicode MS" w:hAnsi="Arial Unicode MS" w:eastAsia="Arial Unicode MS"/>
          <w:b/>
          <w:color w:val="1F4D78"/>
          <w:lang w:val="ja-JP" w:eastAsia="ja-JP"/>
        </w:rPr>
        <w:t>取引先・倉庫関係：</w:t>
      </w:r>
      <w:r>
        <w:rPr>
          <w:rFonts w:ascii="Arial Unicode MS" w:hAnsi="Arial Unicode MS" w:eastAsia="Arial Unicode MS"/>
          <w:color w:val="1F2933"/>
          <w:lang w:val="ja-JP" w:eastAsia="ja-JP"/>
        </w:rPr>
        <w:t>調達マスタから導出可能だが、データ量、性能、どちら側でファイルを分割するかが未決定。</w:t>
      </w:r>
    </w:p>
    <w:p>
      <w:pPr>
        <w:pStyle w:val="ListBullet"/>
        <w:keepNext w:val="0"/>
        <w:spacing w:before="0" w:after="160" w:line="280" w:lineRule="auto"/>
        <w:ind w:left="720" w:hanging="360"/>
      </w:pPr>
      <w:r>
        <w:rPr>
          <w:rFonts w:ascii="Arial Unicode MS" w:hAnsi="Arial Unicode MS" w:eastAsia="Arial Unicode MS"/>
          <w:b/>
          <w:color w:val="1F4D78"/>
          <w:lang w:val="ja-JP" w:eastAsia="ja-JP"/>
        </w:rPr>
        <w:t>新商品在庫：</w:t>
      </w:r>
      <w:r>
        <w:rPr>
          <w:rFonts w:ascii="Arial Unicode MS" w:hAnsi="Arial Unicode MS" w:eastAsia="Arial Unicode MS"/>
          <w:color w:val="1F2933"/>
          <w:lang w:val="ja-JP" w:eastAsia="ja-JP"/>
        </w:rPr>
        <w:t>DWHおよび独立した自動発注対象テーブルを参照する方針は確定し、ステータスは対応中へ変更されたが、外部インターフェース、必要項目、計画、実装責任者の具体化が必要。</w:t>
      </w:r>
    </w:p>
    <w:p>
      <w:pPr>
        <w:pStyle w:val="Heading2"/>
        <w:keepNext/>
        <w:spacing w:before="240" w:after="120" w:line="240" w:lineRule="auto"/>
      </w:pPr>
      <w:r>
        <w:rPr>
          <w:rFonts w:ascii="Arial Unicode MS" w:hAnsi="Arial Unicode MS" w:eastAsia="Arial Unicode MS"/>
          <w:b/>
          <w:color w:val="2E74B5"/>
          <w:sz w:val="26"/>
          <w:lang w:val="ja-JP" w:eastAsia="ja-JP"/>
        </w:rPr>
        <w:t>3.3 優先開発可能なインターフェース</w:t>
      </w:r>
    </w:p>
    <w:p>
      <w:pPr>
        <w:keepNext w:val="0"/>
        <w:spacing w:before="0" w:after="120" w:line="264" w:lineRule="auto"/>
      </w:pPr>
      <w:r>
        <w:rPr>
          <w:rFonts w:ascii="Arial Unicode MS" w:hAnsi="Arial Unicode MS" w:eastAsia="Arial Unicode MS"/>
          <w:color w:val="1F2933"/>
          <w:lang w:val="ja-JP" w:eastAsia="ja-JP"/>
        </w:rPr>
        <w:t>売上実績、客数、発注勧告、発注実績、休日設定、および確認済みの受払明細は詳細設計・開発に着手可能。便区分、前日24時在庫、新商品在庫、取引先－倉庫分割は引き続き切り離し、棚割は追加7件のQAが閉じるまで実装に着手しない。</w:t>
      </w:r>
    </w:p>
    <w:p>
      <w:pPr>
        <w:pStyle w:val="Heading1"/>
        <w:keepNext/>
        <w:spacing w:before="320" w:after="160" w:line="240" w:lineRule="auto"/>
      </w:pPr>
      <w:r>
        <w:rPr>
          <w:rFonts w:ascii="Arial Unicode MS" w:hAnsi="Arial Unicode MS" w:eastAsia="Arial Unicode MS"/>
          <w:b/>
          <w:color w:val="2E74B5"/>
          <w:sz w:val="32"/>
          <w:lang w:val="ja-JP" w:eastAsia="ja-JP"/>
        </w:rPr>
        <w:t>4. 領域横断の依存関係</w:t>
      </w:r>
    </w:p>
    <w:p>
      <w:pPr>
        <w:keepNext w:val="0"/>
        <w:spacing w:before="0" w:after="120" w:line="264" w:lineRule="auto"/>
      </w:pPr>
      <w:r>
        <w:rPr>
          <w:rFonts w:ascii="Arial Unicode MS" w:hAnsi="Arial Unicode MS" w:eastAsia="Arial Unicode MS"/>
          <w:color w:val="1F2933"/>
          <w:lang w:val="ja-JP" w:eastAsia="ja-JP"/>
        </w:rPr>
        <w:t>BO領域には複数の対応中レコードが残っており、WMS商品マスタおよび仕入伝票に直接影響する。</w:t>
      </w:r>
    </w:p>
    <w:p>
      <w:pPr>
        <w:pStyle w:val="ListBullet"/>
        <w:keepNext w:val="0"/>
        <w:spacing w:before="0" w:after="160" w:line="280" w:lineRule="auto"/>
        <w:ind w:left="720" w:hanging="360"/>
      </w:pPr>
      <w:r>
        <w:rPr>
          <w:rFonts w:ascii="Arial Unicode MS" w:hAnsi="Arial Unicode MS" w:eastAsia="Arial Unicode MS"/>
          <w:color w:val="1F2933"/>
          <w:lang w:val="ja-JP" w:eastAsia="ja-JP"/>
        </w:rPr>
        <w:t>通過在庫区分。</w:t>
      </w:r>
    </w:p>
    <w:p>
      <w:pPr>
        <w:pStyle w:val="ListBullet"/>
        <w:keepNext w:val="0"/>
        <w:spacing w:before="0" w:after="160" w:line="280" w:lineRule="auto"/>
        <w:ind w:left="720" w:hanging="360"/>
      </w:pPr>
      <w:r>
        <w:rPr>
          <w:rFonts w:ascii="Arial Unicode MS" w:hAnsi="Arial Unicode MS" w:eastAsia="Arial Unicode MS"/>
          <w:color w:val="1F2933"/>
          <w:lang w:val="ja-JP" w:eastAsia="ja-JP"/>
        </w:rPr>
        <w:t>原価、税込原価、売価、Vendor Pack入数。</w:t>
      </w:r>
    </w:p>
    <w:p>
      <w:pPr>
        <w:pStyle w:val="ListBullet"/>
        <w:keepNext w:val="0"/>
        <w:spacing w:before="0" w:after="160" w:line="280" w:lineRule="auto"/>
        <w:ind w:left="720" w:hanging="360"/>
      </w:pPr>
      <w:r>
        <w:rPr>
          <w:rFonts w:ascii="Arial Unicode MS" w:hAnsi="Arial Unicode MS" w:eastAsia="Arial Unicode MS"/>
          <w:color w:val="1F2933"/>
          <w:lang w:val="ja-JP" w:eastAsia="ja-JP"/>
        </w:rPr>
        <w:t>取引先の必須項目、税務・支払関連コードの定義。</w:t>
      </w:r>
    </w:p>
    <w:p>
      <w:pPr>
        <w:pStyle w:val="ListBullet"/>
        <w:keepNext w:val="0"/>
        <w:spacing w:before="0" w:after="160" w:line="280" w:lineRule="auto"/>
        <w:ind w:left="720" w:hanging="360"/>
      </w:pPr>
      <w:r>
        <w:rPr>
          <w:rFonts w:ascii="Arial Unicode MS" w:hAnsi="Arial Unicode MS" w:eastAsia="Arial Unicode MS"/>
          <w:color w:val="1F2933"/>
          <w:lang w:val="ja-JP" w:eastAsia="ja-JP"/>
        </w:rPr>
        <w:t>店舗ステータス、Locationタイプ、マスタ項目の桁数制限。</w:t>
      </w:r>
    </w:p>
    <w:p>
      <w:pPr>
        <w:keepNext w:val="0"/>
        <w:spacing w:before="0" w:after="120" w:line="264" w:lineRule="auto"/>
      </w:pPr>
      <w:r>
        <w:rPr>
          <w:rFonts w:ascii="Arial Unicode MS" w:hAnsi="Arial Unicode MS" w:eastAsia="Arial Unicode MS"/>
          <w:color w:val="1F2933"/>
          <w:lang w:val="ja-JP" w:eastAsia="ja-JP"/>
        </w:rPr>
        <w:t>両課題は、区分管理マスタ、GCSディレクトリ、授受ファイル、アーカイブルールにも共通して依存する。加えて、未回答またはステータス空欄の棚割QAが7件追加され、Sinops棚割・TRMD連携設計へ直接影響する。</w:t>
      </w:r>
    </w:p>
    <w:p>
      <w:pPr>
        <w:pStyle w:val="Heading1"/>
        <w:keepNext/>
        <w:spacing w:before="320" w:after="160" w:line="240" w:lineRule="auto"/>
      </w:pPr>
      <w:r>
        <w:rPr>
          <w:rFonts w:ascii="Arial Unicode MS" w:hAnsi="Arial Unicode MS" w:eastAsia="Arial Unicode MS"/>
          <w:b/>
          <w:color w:val="2E74B5"/>
          <w:sz w:val="32"/>
          <w:lang w:val="ja-JP" w:eastAsia="ja-JP"/>
        </w:rPr>
        <w:t>5. 推奨実施順序</w:t>
      </w:r>
    </w:p>
    <w:p>
      <w:pPr>
        <w:pStyle w:val="ListNumber"/>
        <w:keepNext w:val="0"/>
        <w:spacing w:before="0" w:after="160" w:line="280" w:lineRule="auto"/>
        <w:ind w:left="720" w:hanging="360"/>
      </w:pPr>
      <w:r>
        <w:rPr>
          <w:rFonts w:ascii="Arial Unicode MS" w:hAnsi="Arial Unicode MS" w:eastAsia="Arial Unicode MS"/>
          <w:color w:val="1F2933"/>
          <w:lang w:val="ja-JP" w:eastAsia="ja-JP"/>
        </w:rPr>
        <w:t>最初にQAステータスを整理する。回答が明確なレコードはクローズし、「完了」だが継続確認が必要なレコードは再オープンする。</w:t>
      </w:r>
    </w:p>
    <w:p>
      <w:pPr>
        <w:pStyle w:val="ListNumber"/>
        <w:keepNext w:val="0"/>
        <w:spacing w:before="0" w:after="160" w:line="280" w:lineRule="auto"/>
        <w:ind w:left="720" w:hanging="360"/>
      </w:pPr>
      <w:r>
        <w:rPr>
          <w:rFonts w:ascii="Arial Unicode MS" w:hAnsi="Arial Unicode MS" w:eastAsia="Arial Unicode MS"/>
          <w:color w:val="1F2933"/>
          <w:lang w:val="ja-JP" w:eastAsia="ja-JP"/>
        </w:rPr>
        <w:t>共通データ契約を確定する。項目取得元、Key、コード表、デフォルト値、基準時点、全量／差分、リトライ、照合ルールを明確化する。</w:t>
      </w:r>
    </w:p>
    <w:p>
      <w:pPr>
        <w:pStyle w:val="ListNumber"/>
        <w:keepNext w:val="0"/>
        <w:spacing w:before="0" w:after="160" w:line="280" w:lineRule="auto"/>
        <w:ind w:left="720" w:hanging="360"/>
      </w:pPr>
      <w:r>
        <w:rPr>
          <w:rFonts w:ascii="Arial Unicode MS" w:hAnsi="Arial Unicode MS" w:eastAsia="Arial Unicode MS"/>
          <w:color w:val="1F2933"/>
          <w:lang w:val="ja-JP" w:eastAsia="ja-JP"/>
        </w:rPr>
        <w:t>第1弾として、Sinopsのクローズ済みインターフェースと、WMSの転送基盤、ログ、ファイル検証、確定済みマスタインターフェースを開発する。</w:t>
      </w:r>
    </w:p>
    <w:p>
      <w:pPr>
        <w:pStyle w:val="ListNumber"/>
        <w:keepNext w:val="0"/>
        <w:spacing w:before="0" w:after="160" w:line="280" w:lineRule="auto"/>
        <w:ind w:left="720" w:hanging="360"/>
      </w:pPr>
      <w:r>
        <w:rPr>
          <w:rFonts w:ascii="Arial Unicode MS" w:hAnsi="Arial Unicode MS" w:eastAsia="Arial Unicode MS"/>
          <w:color w:val="1F2933"/>
          <w:lang w:val="ja-JP" w:eastAsia="ja-JP"/>
        </w:rPr>
        <w:t>第2弾は、便区分、商品物流属性、取引先－倉庫関係の確定後に開発する。棚割はDWH経路を統一し、追加7件の実装QAをクローズしてから着手する。</w:t>
      </w:r>
    </w:p>
    <w:p>
      <w:pPr>
        <w:pStyle w:val="ListNumber"/>
        <w:keepNext w:val="0"/>
        <w:spacing w:before="0" w:after="160" w:line="280" w:lineRule="auto"/>
        <w:ind w:left="720" w:hanging="360"/>
      </w:pPr>
      <w:r>
        <w:rPr>
          <w:rFonts w:ascii="Arial Unicode MS" w:hAnsi="Arial Unicode MS" w:eastAsia="Arial Unicode MS"/>
          <w:color w:val="1F2933"/>
          <w:lang w:val="ja-JP" w:eastAsia="ja-JP"/>
        </w:rPr>
        <w:t>WMS在庫、原価、仕入伝票、会計関連インターフェースは最終弾とし、先に業務側・BO側の判断を完了する。</w:t>
      </w:r>
    </w:p>
    <w:p>
      <w:pPr>
        <w:pStyle w:val="ListNumber"/>
        <w:keepNext w:val="0"/>
        <w:spacing w:before="0" w:after="160" w:line="280" w:lineRule="auto"/>
        <w:ind w:left="720" w:hanging="360"/>
      </w:pPr>
      <w:r>
        <w:rPr>
          <w:rFonts w:ascii="Arial Unicode MS" w:hAnsi="Arial Unicode MS" w:eastAsia="Arial Unicode MS"/>
          <w:color w:val="1F2933"/>
          <w:lang w:val="ja-JP" w:eastAsia="ja-JP"/>
        </w:rPr>
        <w:t>結合テストでは、再送、重複ファイル、順不同、欠損、部分失敗、手動復旧のシナリオを必ず網羅する。</w:t>
      </w:r>
    </w:p>
    <w:p>
      <w:pPr>
        <w:pStyle w:val="Heading1"/>
        <w:keepNext/>
        <w:spacing w:before="320" w:after="160" w:line="240" w:lineRule="auto"/>
      </w:pPr>
      <w:r>
        <w:rPr>
          <w:rFonts w:ascii="Arial Unicode MS" w:hAnsi="Arial Unicode MS" w:eastAsia="Arial Unicode MS"/>
          <w:b/>
          <w:color w:val="2E74B5"/>
          <w:sz w:val="32"/>
          <w:lang w:val="ja-JP" w:eastAsia="ja-JP"/>
        </w:rPr>
        <w:t>6. QA管理上の修正提案</w:t>
      </w:r>
    </w:p>
    <w:p>
      <w:pPr>
        <w:pStyle w:val="ListBullet"/>
        <w:keepNext w:val="0"/>
        <w:spacing w:before="0" w:after="160" w:line="280" w:lineRule="auto"/>
        <w:ind w:left="720" w:hanging="360"/>
      </w:pPr>
      <w:r>
        <w:rPr>
          <w:rFonts w:ascii="Arial Unicode MS" w:hAnsi="Arial Unicode MS" w:eastAsia="Arial Unicode MS"/>
          <w:color w:val="1F2933"/>
          <w:lang w:val="ja-JP" w:eastAsia="ja-JP"/>
        </w:rPr>
        <w:t>「完了」は、回答が明確、責任者が明確、設計に反映可能、関連資料が格納済み、のすべてを満たす場合に限定する。</w:t>
      </w:r>
    </w:p>
    <w:p>
      <w:pPr>
        <w:pStyle w:val="ListBullet"/>
        <w:keepNext w:val="0"/>
        <w:spacing w:before="0" w:after="160" w:line="280" w:lineRule="auto"/>
        <w:ind w:left="720" w:hanging="360"/>
      </w:pPr>
      <w:r>
        <w:rPr>
          <w:rFonts w:ascii="Arial Unicode MS" w:hAnsi="Arial Unicode MS" w:eastAsia="Arial Unicode MS"/>
          <w:color w:val="1F2933"/>
          <w:lang w:val="ja-JP" w:eastAsia="ja-JP"/>
        </w:rPr>
        <w:t>「継続確認」「要検討」「詳細設計時に協議」などの記載がある場合、ステータスを「対応中」に変更する。</w:t>
      </w:r>
    </w:p>
    <w:p>
      <w:pPr>
        <w:pStyle w:val="ListBullet"/>
        <w:keepNext w:val="0"/>
        <w:spacing w:before="0" w:after="160" w:line="280" w:lineRule="auto"/>
        <w:ind w:left="720" w:hanging="360"/>
      </w:pPr>
      <w:r>
        <w:rPr>
          <w:rFonts w:ascii="Arial Unicode MS" w:hAnsi="Arial Unicode MS" w:eastAsia="Arial Unicode MS"/>
          <w:color w:val="1F2933"/>
          <w:lang w:val="ja-JP" w:eastAsia="ja-JP"/>
        </w:rPr>
        <w:t>回答済みだが「未対応」のレコードは、ステータス更新漏れか、実施未着手かを確認する。</w:t>
      </w:r>
    </w:p>
    <w:p>
      <w:pPr>
        <w:pStyle w:val="ListBullet"/>
        <w:keepNext w:val="0"/>
        <w:spacing w:before="0" w:after="160" w:line="280" w:lineRule="auto"/>
        <w:ind w:left="720" w:hanging="360"/>
      </w:pPr>
      <w:r>
        <w:rPr>
          <w:rFonts w:ascii="Arial Unicode MS" w:hAnsi="Arial Unicode MS" w:eastAsia="Arial Unicode MS"/>
          <w:color w:val="1F2933"/>
          <w:lang w:val="ja-JP" w:eastAsia="ja-JP"/>
        </w:rPr>
        <w:t>中止レコードには中止理由と代替課題番号を追記し、課題の取りこぼしを防止する。</w:t>
      </w:r>
    </w:p>
    <w:p>
      <w:pPr>
        <w:pStyle w:val="Heading1"/>
        <w:keepNext/>
        <w:spacing w:before="320" w:after="160" w:line="240" w:lineRule="auto"/>
      </w:pPr>
      <w:r>
        <w:rPr>
          <w:rFonts w:ascii="Arial Unicode MS" w:hAnsi="Arial Unicode MS" w:eastAsia="Arial Unicode MS"/>
          <w:b/>
          <w:color w:val="2E74B5"/>
          <w:sz w:val="32"/>
          <w:lang w:val="ja-JP" w:eastAsia="ja-JP"/>
        </w:rPr>
        <w:t>7. 参照資料</w:t>
      </w:r>
    </w:p>
    <w:p>
      <w:pPr>
        <w:pStyle w:val="ListBullet"/>
        <w:keepNext w:val="0"/>
        <w:spacing w:before="0" w:after="160" w:line="280" w:lineRule="auto"/>
        <w:ind w:left="720" w:hanging="360"/>
      </w:pPr>
      <w:r>
        <w:rPr>
          <w:rFonts w:ascii="Arial Unicode MS" w:hAnsi="Arial Unicode MS" w:eastAsia="Arial Unicode MS"/>
          <w:color w:val="1F2933"/>
          <w:lang w:val="ja-JP" w:eastAsia="ja-JP"/>
        </w:rPr>
        <w:t>情報システムPMI_MD基幹統合PJ_TRE_課題管理表 (1).xlsx（2026-08-25最新版）</w:t>
      </w:r>
    </w:p>
    <w:p>
      <w:pPr>
        <w:pStyle w:val="ListBullet"/>
        <w:keepNext w:val="0"/>
        <w:spacing w:before="0" w:after="160" w:line="280" w:lineRule="auto"/>
        <w:ind w:left="720" w:hanging="360"/>
      </w:pPr>
      <w:r>
        <w:rPr>
          <w:rFonts w:ascii="Arial Unicode MS" w:hAnsi="Arial Unicode MS" w:eastAsia="Arial Unicode MS"/>
          <w:color w:val="1F2933"/>
          <w:lang w:val="ja-JP" w:eastAsia="ja-JP"/>
        </w:rPr>
        <w:t>03. WMS (Hitluster)-20260825T065143Z-1-001.zip</w:t>
      </w:r>
    </w:p>
    <w:p>
      <w:pPr>
        <w:pStyle w:val="ListBullet"/>
        <w:keepNext w:val="0"/>
        <w:spacing w:before="0" w:after="160" w:line="280" w:lineRule="auto"/>
        <w:ind w:left="720" w:hanging="360"/>
      </w:pPr>
      <w:r>
        <w:rPr>
          <w:rFonts w:ascii="Arial Unicode MS" w:hAnsi="Arial Unicode MS" w:eastAsia="Arial Unicode MS"/>
          <w:color w:val="1F2933"/>
          <w:lang w:val="ja-JP" w:eastAsia="ja-JP"/>
        </w:rPr>
        <w:t>01. 自動補充（Sinops）-20260825T065143Z-1-001.zip</w:t>
      </w:r>
    </w:p>
    <w:p>
      <w:pPr>
        <w:pStyle w:val="ListBullet"/>
        <w:keepNext w:val="0"/>
        <w:spacing w:before="0" w:after="160" w:line="280" w:lineRule="auto"/>
        <w:ind w:left="720" w:hanging="360"/>
      </w:pPr>
      <w:r>
        <w:rPr>
          <w:rFonts w:ascii="Arial Unicode MS" w:hAnsi="Arial Unicode MS" w:eastAsia="Arial Unicode MS"/>
          <w:color w:val="1F2933"/>
          <w:lang w:val="ja-JP" w:eastAsia="ja-JP"/>
        </w:rPr>
        <w:t>PJWest_情報システム_MD基幹統合PJ _週次定例_20260819.pptx</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olor w:val="667085"/>
        <w:sz w:val="18"/>
        <w:lang w:val="ja-JP" w:eastAsia="ja-JP"/>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64" w:lineRule="auto"/>
      <w:jc w:val="left"/>
    </w:pPr>
    <w:r>
      <w:rPr>
        <w:rFonts w:ascii="Arial Unicode MS" w:hAnsi="Arial Unicode MS" w:eastAsia="Arial Unicode MS"/>
        <w:b/>
        <w:color w:val="667085"/>
        <w:sz w:val="18"/>
        <w:lang w:val="ja-JP" w:eastAsia="ja-JP"/>
      </w:rPr>
      <w:t>MD基幹統合PJ | 最新QA反映版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Unicode MS" w:hAnsi="Arial Unicode MS" w:eastAsia="Arial Unicode MS"/>
      <w:color w:val="1F2933"/>
      <w:sz w:val="22"/>
      <w:lang w:val="ja-JP"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Unicode MS" w:hAnsi="Arial Unicode MS" w:eastAsia="Arial Unicode MS"/>
      <w:b/>
      <w:bCs/>
      <w:color w:val="2E74B5"/>
      <w:sz w:val="32"/>
      <w:szCs w:val="28"/>
      <w:lang w:val="ja-JP" w:eastAsia="ja-JP"/>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Arial Unicode MS"/>
      <w:b/>
      <w:bCs/>
      <w:color w:val="2E74B5"/>
      <w:sz w:val="26"/>
      <w:szCs w:val="26"/>
      <w:lang w:val="ja-JP" w:eastAsia="ja-JP"/>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Unicode MS" w:hAnsi="Arial Unicode MS" w:eastAsia="Arial Unicode MS"/>
      <w:b/>
      <w:bCs/>
      <w:color w:val="1F4D78"/>
      <w:sz w:val="24"/>
      <w:lang w:val="ja-JP" w:eastAsia="ja-JP"/>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WMS・自動補充課題 再整理サマリー</dc:title>
  <dc:subject>MD基幹統合PJ 最新QA反映版（2026-08-26）</dc:subject>
  <dc:creator>Project Team</dc:creator>
  <cp:keywords>WMS, Hitluster, Sinops, QA, MD基幹統合</cp:keywords>
  <dc:description>generated by python-docx</dc:description>
  <cp:lastModifiedBy/>
  <cp:revision>1</cp:revision>
  <dcterms:created xsi:type="dcterms:W3CDTF">2013-12-23T23:15:00Z</dcterms:created>
  <dcterms:modified xsi:type="dcterms:W3CDTF">2013-12-23T23:15:00Z</dcterms:modified>
  <cp:category/>
</cp:coreProperties>
</file>