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A14" w:rsidRDefault="008B5696">
      <w:pPr>
        <w:spacing w:before="566" w:after="566"/>
        <w:jc w:val="center"/>
      </w:pPr>
      <w:r>
        <w:rPr>
          <w:noProof/>
        </w:rPr>
        <w:drawing>
          <wp:inline distT="0" distB="0" distL="0" distR="0">
            <wp:extent cx="3619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14" w:rsidRDefault="008B5696">
      <w:pPr>
        <w:spacing w:before="226" w:after="56"/>
        <w:jc w:val="center"/>
      </w:pPr>
      <w:r>
        <w:rPr>
          <w:b/>
          <w:bCs/>
        </w:rPr>
        <w:t>Wydział Nauk Ścisłych i Technicznych</w:t>
      </w:r>
    </w:p>
    <w:p w:rsidR="00DA2A14" w:rsidRDefault="008B5696">
      <w:pPr>
        <w:spacing w:after="1133"/>
        <w:jc w:val="center"/>
      </w:pPr>
      <w:r>
        <w:t>Uniwersytet Śląski w Katowicach</w:t>
      </w:r>
    </w:p>
    <w:p w:rsidR="00DA2A14" w:rsidRDefault="008B5696">
      <w:pPr>
        <w:spacing w:after="113"/>
        <w:jc w:val="center"/>
      </w:pPr>
      <w:r>
        <w:t>Referat z przedmiotu</w:t>
      </w:r>
    </w:p>
    <w:p w:rsidR="00DA2A14" w:rsidRDefault="008B5696">
      <w:pPr>
        <w:spacing w:after="850"/>
        <w:jc w:val="center"/>
      </w:pPr>
      <w:r>
        <w:rPr>
          <w:b/>
          <w:bCs/>
          <w:sz w:val="32"/>
          <w:szCs w:val="32"/>
        </w:rPr>
        <w:t>Algorytmika i zaawansowane struktury danych</w:t>
      </w:r>
    </w:p>
    <w:p w:rsidR="00DA2A14" w:rsidRDefault="008B5696">
      <w:pPr>
        <w:spacing w:after="283"/>
        <w:jc w:val="center"/>
      </w:pPr>
      <w:r>
        <w:t>─────────────────────────────────────</w:t>
      </w:r>
    </w:p>
    <w:p w:rsidR="00DA2A14" w:rsidRDefault="008B5696">
      <w:pPr>
        <w:spacing w:after="170"/>
        <w:jc w:val="center"/>
      </w:pPr>
      <w:r>
        <w:rPr>
          <w:b/>
          <w:bCs/>
          <w:sz w:val="30"/>
          <w:szCs w:val="30"/>
        </w:rPr>
        <w:t>Zadanie 82. Kolorowanie wierzchołków trójkąta</w:t>
      </w:r>
    </w:p>
    <w:p w:rsidR="00DA2A14" w:rsidRDefault="008B5696">
      <w:pPr>
        <w:spacing w:after="283"/>
        <w:jc w:val="center"/>
      </w:pPr>
      <w:r>
        <w:rPr>
          <w:i/>
          <w:iCs/>
        </w:rPr>
        <w:t>Zliczanie kolorowań z dokładnością do obrotu (lemat Burnside'a)</w:t>
      </w:r>
    </w:p>
    <w:p w:rsidR="00DA2A14" w:rsidRDefault="008B5696">
      <w:pPr>
        <w:spacing w:after="1700"/>
        <w:jc w:val="center"/>
      </w:pPr>
      <w:r>
        <w:t>─────────────────────────────────────</w:t>
      </w:r>
    </w:p>
    <w:p w:rsidR="00DA2A14" w:rsidRDefault="008B5696">
      <w:pPr>
        <w:spacing w:after="566"/>
        <w:jc w:val="center"/>
      </w:pPr>
      <w:r>
        <w:rPr>
          <w:b/>
          <w:bCs/>
        </w:rPr>
        <w:t xml:space="preserve">Autor: </w:t>
      </w:r>
      <w:r>
        <w:t>Mateusz Zaniewski</w:t>
      </w:r>
    </w:p>
    <w:p w:rsidR="00DA2A14" w:rsidRDefault="008B5696">
      <w:pPr>
        <w:jc w:val="center"/>
      </w:pPr>
      <w:r>
        <w:t>Katowice 2026</w:t>
      </w:r>
    </w:p>
    <w:p w:rsidR="00DA2A14" w:rsidRDefault="00DA2A14">
      <w:pPr>
        <w:sectPr w:rsidR="00DA2A14">
          <w:headerReference w:type="default" r:id="rId9"/>
          <w:footerReference w:type="default" r:id="rId10"/>
          <w:pgSz w:w="11905" w:h="16837"/>
          <w:pgMar w:top="1417" w:right="1417" w:bottom="1417" w:left="1417" w:header="708" w:footer="708" w:gutter="0"/>
          <w:cols w:space="708"/>
          <w:docGrid w:linePitch="360"/>
        </w:sectPr>
      </w:pPr>
    </w:p>
    <w:sdt>
      <w:sdtPr>
        <w:alias w:val="Spis treści"/>
        <w:id w:val="-516703030"/>
      </w:sdtPr>
      <w:sdtEndPr/>
      <w:sdtContent>
        <w:p w:rsidR="00ED3505" w:rsidRDefault="008B5696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>TOC \o "1-3"</w:instrText>
          </w:r>
          <w:r>
            <w:fldChar w:fldCharType="separate"/>
          </w:r>
          <w:r w:rsidR="00ED3505">
            <w:rPr>
              <w:noProof/>
            </w:rPr>
            <w:t>1. Treść zadania</w:t>
          </w:r>
          <w:r w:rsidR="00ED3505">
            <w:rPr>
              <w:noProof/>
            </w:rPr>
            <w:tab/>
          </w:r>
          <w:r w:rsidR="00ED3505">
            <w:rPr>
              <w:noProof/>
            </w:rPr>
            <w:fldChar w:fldCharType="begin"/>
          </w:r>
          <w:r w:rsidR="00ED3505">
            <w:rPr>
              <w:noProof/>
            </w:rPr>
            <w:instrText xml:space="preserve"> PAGEREF _Toc231311292 \h </w:instrText>
          </w:r>
          <w:r w:rsidR="00ED3505">
            <w:rPr>
              <w:noProof/>
            </w:rPr>
          </w:r>
          <w:r w:rsidR="00ED3505">
            <w:rPr>
              <w:noProof/>
            </w:rPr>
            <w:fldChar w:fldCharType="separate"/>
          </w:r>
          <w:r w:rsidR="00ED3505">
            <w:rPr>
              <w:noProof/>
            </w:rPr>
            <w:t>3</w:t>
          </w:r>
          <w:r w:rsidR="00ED3505">
            <w:rPr>
              <w:noProof/>
            </w:rPr>
            <w:fldChar w:fldCharType="end"/>
          </w:r>
        </w:p>
        <w:p w:rsidR="00ED3505" w:rsidRDefault="00ED3505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2. Teoria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_Toc231311293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2.1. Charakterystyka obiektu i problemu kolorowania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_Toc231311294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2.2. Grupa obrotów trójkąta równobocznego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_Toc231311295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2.3. Działanie grupy, orbity i stabilizatory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_Toc231311296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2.4. Lemat Burnside'a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_Toc231311297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2.5. Punkty stałe a struktura cykli permutacji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_Toc231311298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3. Rozwiązanie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_Toc231311299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3.1. Liczba punktów stałych dla każdego obrotu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3.2. Zastosowanie lematu Burnside'a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3.3. Całkowitoliczbowość wyniku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3.4. Weryfikacja na małych przypadkach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4. Algorytm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4.1. Opis słowny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4.2. Lista kroków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4.3. Pseudokod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4.4. Implementacja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2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4.5. Złożoność obliczeniowa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5. Odpowiedź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6. Wnioski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:rsidR="00ED3505" w:rsidRDefault="00ED3505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rPr>
              <w:noProof/>
            </w:rPr>
            <w:t>Bibliografia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_Toc231311312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DA2A14" w:rsidRDefault="008B5696">
          <w:r>
            <w:fldChar w:fldCharType="end"/>
          </w:r>
        </w:p>
      </w:sdtContent>
    </w:sdt>
    <w:p w:rsidR="00DA2A14" w:rsidRDefault="008B5696">
      <w:r>
        <w:br w:type="page"/>
      </w:r>
    </w:p>
    <w:p w:rsidR="00DA2A14" w:rsidRDefault="008B5696">
      <w:pPr>
        <w:pStyle w:val="Heading1"/>
      </w:pPr>
      <w:bookmarkStart w:id="0" w:name="_Toc231311292"/>
      <w:r>
        <w:lastRenderedPageBreak/>
        <w:t>1. Treść zadania</w:t>
      </w:r>
      <w:bookmarkEnd w:id="0"/>
    </w:p>
    <w:p w:rsidR="00DA2A14" w:rsidRDefault="008B5696">
      <w:pPr>
        <w:spacing w:before="120" w:after="80"/>
      </w:pPr>
      <w:r>
        <w:rPr>
          <w:b/>
          <w:bCs/>
        </w:rPr>
        <w:t>Zadanie 82. Kolorowanie wierzchołków trójkąta</w:t>
      </w:r>
      <w:r>
        <w:t xml:space="preserve"> (∗∗∗).</w:t>
      </w:r>
    </w:p>
    <w:p w:rsidR="00DA2A14" w:rsidRDefault="008B5696">
      <w:pPr>
        <w:spacing w:after="80"/>
      </w:pPr>
      <w:r>
        <w:t>Dany jest trójkąt równoboczny o wierzchołkach ponumerowanych liczbami 1, 2, 3 (rys. 1), którego wszystkie trzy wierzchołki należy pokolorować. Dwa kolorowania uznajemy za jednakowe, jeśl</w:t>
      </w:r>
      <w:r>
        <w:t xml:space="preserve">i jedno z nich można otrzymać z drugiego za pomocą odpowiedniego obrotu trójkąta. Należy wyznaczyć, ile jest różnych sposobów pokolorowania wierzchołków trójkąta przy użyciu niektórych bądź wszystkich spośród danych </w:t>
      </w:r>
      <w:r>
        <w:rPr>
          <w:i/>
          <w:iCs/>
        </w:rPr>
        <w:t>k</w:t>
      </w:r>
      <w:r>
        <w:t xml:space="preserve"> kolorów.</w:t>
      </w:r>
    </w:p>
    <w:p w:rsidR="00DA2A14" w:rsidRDefault="008B5696">
      <w:pPr>
        <w:spacing w:before="80" w:after="40"/>
        <w:jc w:val="center"/>
      </w:pPr>
      <w:r>
        <w:rPr>
          <w:noProof/>
        </w:rPr>
        <w:drawing>
          <wp:inline distT="0" distB="0" distL="0" distR="0">
            <wp:extent cx="1524000" cy="85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14" w:rsidRDefault="008B5696">
      <w:pPr>
        <w:pStyle w:val="Caption"/>
      </w:pPr>
      <w:r>
        <w:rPr>
          <w:b/>
          <w:bCs/>
        </w:rPr>
        <w:t>Rys. 1.</w:t>
      </w:r>
      <w:r>
        <w:t xml:space="preserve"> Trójkąt równoboczny</w:t>
      </w:r>
      <w:r>
        <w:t xml:space="preserve"> z ponumerowanymi wierzchołkami, które należy pokolorować</w:t>
      </w:r>
    </w:p>
    <w:p w:rsidR="00DA2A14" w:rsidRDefault="008B5696">
      <w:pPr>
        <w:spacing w:before="80"/>
      </w:pPr>
      <w:r>
        <w:t xml:space="preserve">Zadanie należy do kombinatoryki zliczania obiektów rozróżnialnych </w:t>
      </w:r>
      <w:r>
        <w:rPr>
          <w:i/>
          <w:iCs/>
        </w:rPr>
        <w:t>z dokładnością do symetrii</w:t>
      </w:r>
      <w:r>
        <w:t>. Naiwne podejście, polegające na wypisaniu wszystkich kolorowań i ręcznym usunięciu powtórzeń, jest nieef</w:t>
      </w:r>
      <w:r>
        <w:t>ektywne i podatne na błędy. W dalszej części przedstawiono aparat teoretyczny (teoria grup i lemat Burnside'a), który prowadzi do zwartego wzoru, a następnie algorytm wyznaczający szukaną wartość.</w:t>
      </w:r>
    </w:p>
    <w:p w:rsidR="00DA2A14" w:rsidRDefault="008B5696">
      <w:pPr>
        <w:pStyle w:val="Heading1"/>
      </w:pPr>
      <w:bookmarkStart w:id="1" w:name="_Toc231311293"/>
      <w:r>
        <w:t>2. Teoria</w:t>
      </w:r>
      <w:bookmarkEnd w:id="1"/>
    </w:p>
    <w:p w:rsidR="00DA2A14" w:rsidRDefault="008B5696">
      <w:pPr>
        <w:pStyle w:val="Heading2"/>
      </w:pPr>
      <w:bookmarkStart w:id="2" w:name="_Toc231311294"/>
      <w:r>
        <w:t>2.1. Charakterystyka obiektu i problemu kolorowan</w:t>
      </w:r>
      <w:r>
        <w:t>ia</w:t>
      </w:r>
      <w:bookmarkEnd w:id="2"/>
    </w:p>
    <w:p w:rsidR="00DA2A14" w:rsidRDefault="008B5696">
      <w:r>
        <w:t>Przedmiotem analizy jest trójkąt równoboczny o zbiorze wierzchołków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V = {1, 2, 3},     n = |V| = 3,</w:t>
      </w:r>
    </w:p>
    <w:p w:rsidR="00DA2A14" w:rsidRDefault="008B5696">
      <w:r>
        <w:t xml:space="preserve">gdzie </w:t>
      </w:r>
      <w:r>
        <w:rPr>
          <w:i/>
          <w:iCs/>
        </w:rPr>
        <w:t>V</w:t>
      </w:r>
      <w:r>
        <w:t xml:space="preserve"> oznacza zbiór wierzchołków, a </w:t>
      </w:r>
      <w:r>
        <w:rPr>
          <w:i/>
          <w:iCs/>
        </w:rPr>
        <w:t>n</w:t>
      </w:r>
      <w:r>
        <w:t xml:space="preserve"> ich liczbę. Dysponujemy zbiorem dostępnych kolorów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C = {c₁, c₂, …, cₖ},     k = |C|,</w:t>
      </w:r>
    </w:p>
    <w:p w:rsidR="00DA2A14" w:rsidRDefault="008B5696">
      <w:r>
        <w:t xml:space="preserve">przy czym </w:t>
      </w:r>
      <w:r>
        <w:rPr>
          <w:i/>
          <w:iCs/>
        </w:rPr>
        <w:t>k</w:t>
      </w:r>
      <w:r>
        <w:t xml:space="preserve"> to liczba dostęp</w:t>
      </w:r>
      <w:r>
        <w:t xml:space="preserve">nych kolorów (liczba całkowita nieujemna). </w:t>
      </w:r>
      <w:r>
        <w:rPr>
          <w:i/>
          <w:iCs/>
        </w:rPr>
        <w:t>Kolorowaniem</w:t>
      </w:r>
      <w:r>
        <w:t xml:space="preserve"> nazywamy dowolną funkcję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f : V → C,</w:t>
      </w:r>
    </w:p>
    <w:p w:rsidR="00DA2A14" w:rsidRDefault="008B5696">
      <w:r>
        <w:t xml:space="preserve">która każdemu wierzchołkowi przypisuje jeden z kolorów. Ponieważ wybór koloru dla każdego z </w:t>
      </w:r>
      <w:r>
        <w:rPr>
          <w:i/>
          <w:iCs/>
        </w:rPr>
        <w:t>n</w:t>
      </w:r>
      <w:r>
        <w:t xml:space="preserve"> wierzchołków jest niezależny, liczba wszystkich kolorowań (jeszcze prz</w:t>
      </w:r>
      <w:r>
        <w:t>ed utożsamieniem obróconych wzorów) wynosi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lastRenderedPageBreak/>
        <w:t>(1)    |X| = kⁿ = k³,</w:t>
      </w:r>
    </w:p>
    <w:p w:rsidR="00DA2A14" w:rsidRDefault="008B5696">
      <w:r>
        <w:t xml:space="preserve">gdzie przez </w:t>
      </w:r>
      <w:r>
        <w:rPr>
          <w:i/>
          <w:iCs/>
        </w:rPr>
        <w:t>X</w:t>
      </w:r>
      <w:r>
        <w:t xml:space="preserve"> oznaczamy zbiór wszystkich możliwych kolorowań.</w:t>
      </w:r>
    </w:p>
    <w:p w:rsidR="00DA2A14" w:rsidRDefault="008B5696">
      <w:pPr>
        <w:pStyle w:val="Heading2"/>
      </w:pPr>
      <w:bookmarkStart w:id="3" w:name="_Toc231311295"/>
      <w:r>
        <w:t>2.2. Grupa obrotów trójkąta równobocznego</w:t>
      </w:r>
      <w:bookmarkEnd w:id="3"/>
    </w:p>
    <w:p w:rsidR="00DA2A14" w:rsidRDefault="008B5696">
      <w:r>
        <w:t xml:space="preserve">Kluczem do zadania jest utożsamienie kolorowań, które różnią się jedynie obrotem trójkąta. Zbiór obrotów przekształcających trójkąt równoboczny na siebie tworzy </w:t>
      </w:r>
      <w:r>
        <w:rPr>
          <w:i/>
          <w:iCs/>
        </w:rPr>
        <w:t>grupę cykliczną</w:t>
      </w:r>
      <w:r>
        <w:t xml:space="preserve"> C₃ rzędu 3.</w:t>
      </w:r>
      <w:r>
        <w:rPr>
          <w:rStyle w:val="FootnoteReference"/>
        </w:rPr>
        <w:footnoteReference w:id="1"/>
      </w:r>
      <w:r>
        <w:t xml:space="preserve"> Składa się ona z trzech elementów:</w:t>
      </w:r>
    </w:p>
    <w:p w:rsidR="00DA2A14" w:rsidRDefault="008B5696">
      <w:pPr>
        <w:pStyle w:val="ListParagraph"/>
        <w:numPr>
          <w:ilvl w:val="0"/>
          <w:numId w:val="2"/>
        </w:numPr>
      </w:pPr>
      <w:r>
        <w:rPr>
          <w:i/>
          <w:iCs/>
        </w:rPr>
        <w:t>identyczność</w:t>
      </w:r>
      <w:r>
        <w:t xml:space="preserve"> id – obrót o kąt 0</w:t>
      </w:r>
      <w:r>
        <w:t>° (brak zmiany położenia);</w:t>
      </w:r>
    </w:p>
    <w:p w:rsidR="00DA2A14" w:rsidRDefault="008B5696">
      <w:pPr>
        <w:pStyle w:val="ListParagraph"/>
        <w:numPr>
          <w:ilvl w:val="0"/>
          <w:numId w:val="2"/>
        </w:numPr>
      </w:pPr>
      <w:r>
        <w:t>obrót ρ₁ – o kąt 120° zgodnie z ruchem wskazówek zegara;</w:t>
      </w:r>
    </w:p>
    <w:p w:rsidR="00DA2A14" w:rsidRDefault="008B5696">
      <w:pPr>
        <w:pStyle w:val="ListParagraph"/>
        <w:numPr>
          <w:ilvl w:val="0"/>
          <w:numId w:val="2"/>
        </w:numPr>
      </w:pPr>
      <w:r>
        <w:t>obrót ρ₂ – o kąt 240° zgodnie z ruchem wskazówek zegara.</w:t>
      </w:r>
    </w:p>
    <w:p w:rsidR="00DA2A14" w:rsidRDefault="008B5696">
      <w:r>
        <w:t xml:space="preserve">Zatem </w:t>
      </w:r>
      <w:r>
        <w:rPr>
          <w:i/>
          <w:iCs/>
        </w:rPr>
        <w:t>G</w:t>
      </w:r>
      <w:r>
        <w:t xml:space="preserve"> = C₃ = {id, ρ₁, ρ₂} oraz |</w:t>
      </w:r>
      <w:r>
        <w:rPr>
          <w:i/>
          <w:iCs/>
        </w:rPr>
        <w:t>G</w:t>
      </w:r>
      <w:r>
        <w:t xml:space="preserve">| = 3, gdzie </w:t>
      </w:r>
      <w:r>
        <w:rPr>
          <w:i/>
          <w:iCs/>
        </w:rPr>
        <w:t>G</w:t>
      </w:r>
      <w:r>
        <w:t xml:space="preserve"> oznacza rozważaną grupę przekształceń, a |</w:t>
      </w:r>
      <w:r>
        <w:rPr>
          <w:i/>
          <w:iCs/>
        </w:rPr>
        <w:t>G</w:t>
      </w:r>
      <w:r>
        <w:t>| jej rząd (liczbę elementów). Zgodnie z treścią zadania, które mówi wyłącznie o obrotach, pomijamy symetrie osiowe (odbicia); ich wpływ omówiono krótko we wnioskach.</w:t>
      </w:r>
    </w:p>
    <w:p w:rsidR="00DA2A14" w:rsidRDefault="008B5696">
      <w:r>
        <w:t xml:space="preserve">Każdy obrót można traktować jako permutację zbioru wierzchołków </w:t>
      </w:r>
      <w:r>
        <w:rPr>
          <w:i/>
          <w:iCs/>
        </w:rPr>
        <w:t>V</w:t>
      </w:r>
      <w:r>
        <w:t>. W przyjętej numeracji: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id = (1)(2)(3),     ρ₁ = (1 2 3),     ρ₂ = (1 3 2),</w:t>
      </w:r>
    </w:p>
    <w:p w:rsidR="00DA2A14" w:rsidRDefault="008B5696">
      <w:r>
        <w:t>gdzie zapis cykliczny (1 2 3) oznacza, że wierzchołek 1 przechodzi na miejsce 2, 2 na miejsce 3, a 3 na miejsce 1</w:t>
      </w:r>
      <w:bookmarkStart w:id="4" w:name="_GoBack"/>
      <w:bookmarkEnd w:id="4"/>
      <w:r>
        <w:t>.</w:t>
      </w:r>
    </w:p>
    <w:p w:rsidR="00DA2A14" w:rsidRDefault="008B5696">
      <w:pPr>
        <w:pStyle w:val="Heading2"/>
      </w:pPr>
      <w:bookmarkStart w:id="5" w:name="_Toc231311296"/>
      <w:r>
        <w:t>2.3. Działanie grupy, orbity i stabilizatory</w:t>
      </w:r>
      <w:bookmarkEnd w:id="5"/>
    </w:p>
    <w:p w:rsidR="00DA2A14" w:rsidRDefault="008B5696">
      <w:r>
        <w:t xml:space="preserve">Mówimy, że grupa </w:t>
      </w:r>
      <w:r>
        <w:rPr>
          <w:i/>
          <w:iCs/>
        </w:rPr>
        <w:t>G</w:t>
      </w:r>
      <w:r>
        <w:t xml:space="preserve"> </w:t>
      </w:r>
      <w:r>
        <w:rPr>
          <w:i/>
          <w:iCs/>
        </w:rPr>
        <w:t>działa</w:t>
      </w:r>
      <w:r>
        <w:t xml:space="preserve"> na zbiorze koloro</w:t>
      </w:r>
      <w:r>
        <w:t xml:space="preserve">wań </w:t>
      </w:r>
      <w:r>
        <w:rPr>
          <w:i/>
          <w:iCs/>
        </w:rPr>
        <w:t>X</w:t>
      </w:r>
      <w:r>
        <w:t xml:space="preserve">, jeśli każdy element </w:t>
      </w:r>
      <w:r>
        <w:rPr>
          <w:i/>
          <w:iCs/>
        </w:rPr>
        <w:t>g</w:t>
      </w:r>
      <w:r>
        <w:t xml:space="preserve"> ∈ </w:t>
      </w:r>
      <w:r>
        <w:rPr>
          <w:i/>
          <w:iCs/>
        </w:rPr>
        <w:t>G</w:t>
      </w:r>
      <w:r>
        <w:t xml:space="preserve"> przekształca dowolne kolorowanie </w:t>
      </w:r>
      <w:r>
        <w:rPr>
          <w:i/>
          <w:iCs/>
        </w:rPr>
        <w:t>x</w:t>
      </w:r>
      <w:r>
        <w:t xml:space="preserve"> ∈ </w:t>
      </w:r>
      <w:r>
        <w:rPr>
          <w:i/>
          <w:iCs/>
        </w:rPr>
        <w:t>X</w:t>
      </w:r>
      <w:r>
        <w:t xml:space="preserve"> w pewne kolorowanie </w:t>
      </w:r>
      <w:r>
        <w:rPr>
          <w:i/>
          <w:iCs/>
        </w:rPr>
        <w:t>g</w:t>
      </w:r>
      <w:r>
        <w:t>·</w:t>
      </w:r>
      <w:r>
        <w:rPr>
          <w:i/>
          <w:iCs/>
        </w:rPr>
        <w:t>x</w:t>
      </w:r>
      <w:r>
        <w:t xml:space="preserve"> ∈ </w:t>
      </w:r>
      <w:r>
        <w:rPr>
          <w:i/>
          <w:iCs/>
        </w:rPr>
        <w:t>X</w:t>
      </w:r>
      <w:r>
        <w:t xml:space="preserve"> (przez obrót wzoru). Wprowadzamy dwa pojęcia:</w:t>
      </w:r>
    </w:p>
    <w:p w:rsidR="00DA2A14" w:rsidRDefault="008B5696">
      <w:pPr>
        <w:pStyle w:val="ListParagraph"/>
        <w:numPr>
          <w:ilvl w:val="0"/>
          <w:numId w:val="2"/>
        </w:numPr>
      </w:pPr>
      <w:r>
        <w:rPr>
          <w:b/>
          <w:bCs/>
        </w:rPr>
        <w:t>Orbita</w:t>
      </w:r>
      <w:r>
        <w:t xml:space="preserve"> kolorowania </w:t>
      </w:r>
      <w:r>
        <w:rPr>
          <w:i/>
          <w:iCs/>
        </w:rPr>
        <w:t>x</w:t>
      </w:r>
      <w:r>
        <w:t xml:space="preserve"> to zbiór Orb(</w:t>
      </w:r>
      <w:r>
        <w:rPr>
          <w:i/>
          <w:iCs/>
        </w:rPr>
        <w:t>x</w:t>
      </w:r>
      <w:r>
        <w:t>) = {</w:t>
      </w:r>
      <w:r>
        <w:rPr>
          <w:i/>
          <w:iCs/>
        </w:rPr>
        <w:t>g</w:t>
      </w:r>
      <w:r>
        <w:t>·</w:t>
      </w:r>
      <w:r>
        <w:rPr>
          <w:i/>
          <w:iCs/>
        </w:rPr>
        <w:t>x</w:t>
      </w:r>
      <w:r>
        <w:t xml:space="preserve"> : </w:t>
      </w:r>
      <w:r>
        <w:rPr>
          <w:i/>
          <w:iCs/>
        </w:rPr>
        <w:t>g</w:t>
      </w:r>
      <w:r>
        <w:t xml:space="preserve"> ∈ </w:t>
      </w:r>
      <w:r>
        <w:rPr>
          <w:i/>
          <w:iCs/>
        </w:rPr>
        <w:t>G</w:t>
      </w:r>
      <w:r>
        <w:t xml:space="preserve">}, czyli zbiór wszystkich kolorowań, które można z </w:t>
      </w:r>
      <w:r>
        <w:rPr>
          <w:i/>
          <w:iCs/>
        </w:rPr>
        <w:t>x</w:t>
      </w:r>
      <w:r>
        <w:t xml:space="preserve"> uzyska</w:t>
      </w:r>
      <w:r>
        <w:t xml:space="preserve">ć przez obroty. Dwa kolorowania uznajemy za jednakowe dokładnie wtedy, gdy należą do tej samej orbity. </w:t>
      </w:r>
      <w:r>
        <w:rPr>
          <w:i/>
          <w:iCs/>
        </w:rPr>
        <w:t>Liczba różnych kolorowań trójkąta jest więc równa liczbie orbit</w:t>
      </w:r>
      <w:r>
        <w:t>, którą oznaczamy N = |X/G|.</w:t>
      </w:r>
    </w:p>
    <w:p w:rsidR="00DA2A14" w:rsidRDefault="008B5696">
      <w:pPr>
        <w:pStyle w:val="ListParagraph"/>
        <w:numPr>
          <w:ilvl w:val="0"/>
          <w:numId w:val="2"/>
        </w:numPr>
      </w:pPr>
      <w:r>
        <w:rPr>
          <w:b/>
          <w:bCs/>
        </w:rPr>
        <w:t>Stabilizator</w:t>
      </w:r>
      <w:r>
        <w:t xml:space="preserve"> kolorowania </w:t>
      </w:r>
      <w:r>
        <w:rPr>
          <w:i/>
          <w:iCs/>
        </w:rPr>
        <w:t>x</w:t>
      </w:r>
      <w:r>
        <w:t xml:space="preserve"> to zbiór tych obrotów, które go ni</w:t>
      </w:r>
      <w:r>
        <w:t>e zmieniają: Gₓ = {</w:t>
      </w:r>
      <w:r>
        <w:rPr>
          <w:i/>
          <w:iCs/>
        </w:rPr>
        <w:t>g</w:t>
      </w:r>
      <w:r>
        <w:t xml:space="preserve"> ∈ </w:t>
      </w:r>
      <w:r>
        <w:rPr>
          <w:i/>
          <w:iCs/>
        </w:rPr>
        <w:t>G</w:t>
      </w:r>
      <w:r>
        <w:t xml:space="preserve"> : </w:t>
      </w:r>
      <w:r>
        <w:rPr>
          <w:i/>
          <w:iCs/>
        </w:rPr>
        <w:t>g</w:t>
      </w:r>
      <w:r>
        <w:t>·</w:t>
      </w:r>
      <w:r>
        <w:rPr>
          <w:i/>
          <w:iCs/>
        </w:rPr>
        <w:t>x</w:t>
      </w:r>
      <w:r>
        <w:t xml:space="preserve"> = </w:t>
      </w:r>
      <w:r>
        <w:rPr>
          <w:i/>
          <w:iCs/>
        </w:rPr>
        <w:t>x</w:t>
      </w:r>
      <w:r>
        <w:t>}.</w:t>
      </w:r>
    </w:p>
    <w:p w:rsidR="00DA2A14" w:rsidRDefault="008B5696">
      <w:r>
        <w:lastRenderedPageBreak/>
        <w:t>Oba pojęcia wiąże twierdzenie o orbicie i stabilizatorze, zgodnie z którym |Orb(</w:t>
      </w:r>
      <w:r>
        <w:rPr>
          <w:i/>
          <w:iCs/>
        </w:rPr>
        <w:t>x</w:t>
      </w:r>
      <w:r>
        <w:t>)| · |Gₓ| = |</w:t>
      </w:r>
      <w:r>
        <w:rPr>
          <w:i/>
          <w:iCs/>
        </w:rPr>
        <w:t>G</w:t>
      </w:r>
      <w:r>
        <w:t>|. Do rozwiązania zadania wygodniej jest jednak posłużyć się równoważnym narzędziem zliczającym bezpośrednio liczbę orbit, czyli lematem Burnside'a.</w:t>
      </w:r>
    </w:p>
    <w:p w:rsidR="00DA2A14" w:rsidRDefault="008B5696">
      <w:pPr>
        <w:pStyle w:val="Heading2"/>
      </w:pPr>
      <w:bookmarkStart w:id="6" w:name="_Toc231311297"/>
      <w:r>
        <w:t>2.4. Lemat Burnside'a</w:t>
      </w:r>
      <w:bookmarkEnd w:id="6"/>
    </w:p>
    <w:p w:rsidR="00DA2A14" w:rsidRDefault="008B5696">
      <w:r>
        <w:t xml:space="preserve">Głównym narzędziem obliczeniowym jest </w:t>
      </w:r>
      <w:r>
        <w:rPr>
          <w:i/>
          <w:iCs/>
        </w:rPr>
        <w:t>lemat Burnside'a</w:t>
      </w:r>
      <w:r>
        <w:t>, który pozwala wyznaczyć liczb</w:t>
      </w:r>
      <w:r>
        <w:t>ę orbit bez konieczności ich ręcznego wypisywania.</w:t>
      </w:r>
      <w:r>
        <w:rPr>
          <w:rStyle w:val="FootnoteReference"/>
        </w:rPr>
        <w:footnoteReference w:id="2"/>
      </w:r>
      <w:r>
        <w:t xml:space="preserve"> Mówi on, że liczba orbit jest równa średniej liczbie kolorowań pozostających bez zmian pod działaniem poszczególnych elementów grupy: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(2)    N = (1/|G|) · Σ_{g ∈ G} |Xᵍ|,</w:t>
      </w:r>
    </w:p>
    <w:p w:rsidR="00DA2A14" w:rsidRDefault="008B5696">
      <w:r>
        <w:t>gdzie:</w:t>
      </w:r>
    </w:p>
    <w:p w:rsidR="00DA2A14" w:rsidRDefault="008B5696">
      <w:pPr>
        <w:pStyle w:val="ListParagraph"/>
        <w:numPr>
          <w:ilvl w:val="0"/>
          <w:numId w:val="2"/>
        </w:numPr>
      </w:pPr>
      <w:r>
        <w:rPr>
          <w:i/>
          <w:iCs/>
        </w:rPr>
        <w:t>N</w:t>
      </w:r>
      <w:r>
        <w:t xml:space="preserve"> – liczba orbit, czyli sz</w:t>
      </w:r>
      <w:r>
        <w:t>ukana liczba różnych kolorowań;</w:t>
      </w:r>
    </w:p>
    <w:p w:rsidR="00DA2A14" w:rsidRDefault="008B5696">
      <w:pPr>
        <w:pStyle w:val="ListParagraph"/>
        <w:numPr>
          <w:ilvl w:val="0"/>
          <w:numId w:val="2"/>
        </w:numPr>
      </w:pPr>
      <w:r>
        <w:t>|</w:t>
      </w:r>
      <w:r>
        <w:rPr>
          <w:i/>
          <w:iCs/>
        </w:rPr>
        <w:t>G</w:t>
      </w:r>
      <w:r>
        <w:t>| – rząd grupy (u nas |G| = 3);</w:t>
      </w:r>
    </w:p>
    <w:p w:rsidR="00DA2A14" w:rsidRDefault="008B5696">
      <w:pPr>
        <w:pStyle w:val="ListParagraph"/>
        <w:numPr>
          <w:ilvl w:val="0"/>
          <w:numId w:val="2"/>
        </w:numPr>
      </w:pPr>
      <w:r>
        <w:rPr>
          <w:i/>
          <w:iCs/>
        </w:rPr>
        <w:t>X</w:t>
      </w:r>
      <w:r>
        <w:t>ᵍ = {</w:t>
      </w:r>
      <w:r>
        <w:rPr>
          <w:i/>
          <w:iCs/>
        </w:rPr>
        <w:t>x</w:t>
      </w:r>
      <w:r>
        <w:t xml:space="preserve"> ∈ </w:t>
      </w:r>
      <w:r>
        <w:rPr>
          <w:i/>
          <w:iCs/>
        </w:rPr>
        <w:t>X</w:t>
      </w:r>
      <w:r>
        <w:t xml:space="preserve"> : </w:t>
      </w:r>
      <w:r>
        <w:rPr>
          <w:i/>
          <w:iCs/>
        </w:rPr>
        <w:t>g</w:t>
      </w:r>
      <w:r>
        <w:t>·</w:t>
      </w:r>
      <w:r>
        <w:rPr>
          <w:i/>
          <w:iCs/>
        </w:rPr>
        <w:t>x</w:t>
      </w:r>
      <w:r>
        <w:t xml:space="preserve"> = </w:t>
      </w:r>
      <w:r>
        <w:rPr>
          <w:i/>
          <w:iCs/>
        </w:rPr>
        <w:t>x</w:t>
      </w:r>
      <w:r>
        <w:t xml:space="preserve">} – zbiór </w:t>
      </w:r>
      <w:r>
        <w:rPr>
          <w:i/>
          <w:iCs/>
        </w:rPr>
        <w:t>punktów stałych</w:t>
      </w:r>
      <w:r>
        <w:t xml:space="preserve"> przekształcenia </w:t>
      </w:r>
      <w:r>
        <w:rPr>
          <w:i/>
          <w:iCs/>
        </w:rPr>
        <w:t>g</w:t>
      </w:r>
      <w:r>
        <w:t xml:space="preserve">, czyli kolorowań niezmienniczych względem </w:t>
      </w:r>
      <w:r>
        <w:rPr>
          <w:i/>
          <w:iCs/>
        </w:rPr>
        <w:t>g</w:t>
      </w:r>
      <w:r>
        <w:t>, a |</w:t>
      </w:r>
      <w:r>
        <w:rPr>
          <w:i/>
          <w:iCs/>
        </w:rPr>
        <w:t>X</w:t>
      </w:r>
      <w:r>
        <w:t>ᵍ| to ich liczba.</w:t>
      </w:r>
    </w:p>
    <w:p w:rsidR="00DA2A14" w:rsidRDefault="008B5696">
      <w:pPr>
        <w:pStyle w:val="Heading2"/>
      </w:pPr>
      <w:bookmarkStart w:id="7" w:name="_Toc231311298"/>
      <w:r>
        <w:t>2.5. Punkty stałe a struktura cykli permutacji</w:t>
      </w:r>
      <w:bookmarkEnd w:id="7"/>
    </w:p>
    <w:p w:rsidR="00DA2A14" w:rsidRDefault="008B5696">
      <w:r>
        <w:t>Aby zastoso</w:t>
      </w:r>
      <w:r>
        <w:t xml:space="preserve">wać wzór (2), należy umieć policzyć |Xᵍ| dla każdego </w:t>
      </w:r>
      <w:r>
        <w:rPr>
          <w:i/>
          <w:iCs/>
        </w:rPr>
        <w:t>g</w:t>
      </w:r>
      <w:r>
        <w:t xml:space="preserve">. Pomocna jest następująca obserwacja: kolorowanie jest punktem stałym przekształcenia </w:t>
      </w:r>
      <w:r>
        <w:rPr>
          <w:i/>
          <w:iCs/>
        </w:rPr>
        <w:t>g</w:t>
      </w:r>
      <w:r>
        <w:t xml:space="preserve"> dokładnie wtedy, gdy wierzchołki przechodzące jeden na drugi (czyli leżące w tym samym cyklu permutacji </w:t>
      </w:r>
      <w:r>
        <w:rPr>
          <w:i/>
          <w:iCs/>
        </w:rPr>
        <w:t>g</w:t>
      </w:r>
      <w:r>
        <w:t>) mają t</w:t>
      </w:r>
      <w:r>
        <w:t>en sam kolor. Wierzchołki w obrębie jednego cyklu muszą bowiem być pokolorowane identycznie, natomiast kolory różnych cykli możemy dobierać niezależnie.</w:t>
      </w:r>
      <w:r>
        <w:rPr>
          <w:rStyle w:val="FootnoteReference"/>
        </w:rPr>
        <w:footnoteReference w:id="3"/>
      </w:r>
      <w:r>
        <w:t xml:space="preserve"> Stąd, jeśli przez c(</w:t>
      </w:r>
      <w:r>
        <w:rPr>
          <w:i/>
          <w:iCs/>
        </w:rPr>
        <w:t>g</w:t>
      </w:r>
      <w:r>
        <w:t xml:space="preserve">) oznaczymy liczbę cykli permutacji </w:t>
      </w:r>
      <w:r>
        <w:rPr>
          <w:i/>
          <w:iCs/>
        </w:rPr>
        <w:t>g</w:t>
      </w:r>
      <w:r>
        <w:t>, otrzymujemy zwartą regułę: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(3)    |Xᵍ| = k</w:t>
      </w:r>
      <w:r>
        <w:rPr>
          <w:i/>
          <w:iCs/>
        </w:rPr>
        <w:t>^{c(g)}.</w:t>
      </w:r>
    </w:p>
    <w:p w:rsidR="00DA2A14" w:rsidRDefault="008B5696">
      <w:r>
        <w:t>Działanie obrotu ρ₁ jako cyklu na wierzchołkach ilustruje rys. 2: wszystkie trzy wierzchołki tworzą jeden cykl, więc muszą otrzymać wspólny kolor.</w:t>
      </w:r>
    </w:p>
    <w:p w:rsidR="00DA2A14" w:rsidRDefault="008B5696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1571625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A14" w:rsidRDefault="008B5696">
      <w:pPr>
        <w:pStyle w:val="Caption"/>
      </w:pPr>
      <w:r>
        <w:rPr>
          <w:b/>
          <w:bCs/>
        </w:rPr>
        <w:t>Rys. 2.</w:t>
      </w:r>
      <w:r>
        <w:t xml:space="preserve"> Obrót ρ₁ o 120° jako jeden cykl (1 2 3) na wierzchołkach trójkąta</w:t>
      </w:r>
    </w:p>
    <w:p w:rsidR="00DA2A14" w:rsidRDefault="008B5696">
      <w:pPr>
        <w:pStyle w:val="Heading1"/>
      </w:pPr>
      <w:bookmarkStart w:id="8" w:name="_Toc231311299"/>
      <w:r>
        <w:t>3. Rozwiązanie</w:t>
      </w:r>
      <w:bookmarkEnd w:id="8"/>
    </w:p>
    <w:p w:rsidR="00DA2A14" w:rsidRDefault="008B5696">
      <w:pPr>
        <w:pStyle w:val="Heading2"/>
      </w:pPr>
      <w:bookmarkStart w:id="9" w:name="_Toc231311300"/>
      <w:r>
        <w:t>3.1. Licz</w:t>
      </w:r>
      <w:r>
        <w:t>ba punktów stałych dla każdego obrotu</w:t>
      </w:r>
      <w:bookmarkEnd w:id="9"/>
    </w:p>
    <w:p w:rsidR="00DA2A14" w:rsidRDefault="008B5696">
      <w:r>
        <w:t>Wyznaczamy liczbę cykli c(</w:t>
      </w:r>
      <w:r>
        <w:rPr>
          <w:i/>
          <w:iCs/>
        </w:rPr>
        <w:t>g</w:t>
      </w:r>
      <w:r>
        <w:t>) oraz liczbę punktów stałych |Xᵍ| zgodnie z regułą (3):</w:t>
      </w:r>
    </w:p>
    <w:p w:rsidR="00DA2A14" w:rsidRDefault="008B5696">
      <w:pPr>
        <w:pStyle w:val="ListParagraph"/>
        <w:numPr>
          <w:ilvl w:val="0"/>
          <w:numId w:val="2"/>
        </w:numPr>
      </w:pPr>
      <w:r>
        <w:t>dla id = (1)(2)(3) mamy trzy jednoelementowe cykle, więc c(id) = 3 i każdy wierzchołek można pokolorować niezależnie: |Xⁱᵈ| = k³;</w:t>
      </w:r>
    </w:p>
    <w:p w:rsidR="00DA2A14" w:rsidRDefault="008B5696">
      <w:pPr>
        <w:pStyle w:val="ListParagraph"/>
        <w:numPr>
          <w:ilvl w:val="0"/>
          <w:numId w:val="2"/>
        </w:numPr>
      </w:pPr>
      <w:r>
        <w:t>dla ρ₁ = (1 2 3) wszystkie wierzchołki tworzą jeden cykl, więc c(ρ₁) = 1 i muszą mieć wspólny kolor: |X^{ρ₁}| = k;</w:t>
      </w:r>
    </w:p>
    <w:p w:rsidR="00DA2A14" w:rsidRDefault="008B5696">
      <w:pPr>
        <w:pStyle w:val="ListParagraph"/>
        <w:numPr>
          <w:ilvl w:val="0"/>
          <w:numId w:val="2"/>
        </w:numPr>
      </w:pPr>
      <w:r>
        <w:t>dla ρ₂ = (1 3 2) analogicznie c(ρ₂) = 1, zatem |X^{ρ₂}| = k.</w:t>
      </w:r>
    </w:p>
    <w:p w:rsidR="00DA2A14" w:rsidRDefault="008B5696">
      <w:r>
        <w:t>Wyniki zestawiono w tabeli 1.</w:t>
      </w:r>
    </w:p>
    <w:p w:rsidR="00DA2A14" w:rsidRDefault="008B5696">
      <w:pPr>
        <w:pStyle w:val="Caption"/>
      </w:pPr>
      <w:r>
        <w:rPr>
          <w:b/>
          <w:bCs/>
        </w:rPr>
        <w:t>Tabela 1.</w:t>
      </w:r>
      <w:r>
        <w:t xml:space="preserve"> Liczba cykli i punktów stałych dla elementów grupy C₃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000"/>
        <w:gridCol w:w="2700"/>
      </w:tblGrid>
      <w:tr w:rsidR="00DA2A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Element g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Postać cykliczna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Liczba cykli c(g)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Liczba p. stałych |Xᵍ|</w:t>
            </w:r>
          </w:p>
        </w:tc>
      </w:tr>
      <w:tr w:rsidR="00DA2A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id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(1)(2)(3)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3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i/>
                <w:iCs/>
              </w:rPr>
              <w:t>k</w:t>
            </w:r>
            <w:r>
              <w:t>³</w:t>
            </w:r>
          </w:p>
        </w:tc>
      </w:tr>
      <w:tr w:rsidR="00DA2A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ρ₁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(1 2 3)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1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i/>
                <w:iCs/>
              </w:rPr>
              <w:t>k</w:t>
            </w:r>
          </w:p>
        </w:tc>
      </w:tr>
      <w:tr w:rsidR="00DA2A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ρ₂</w:t>
            </w:r>
          </w:p>
        </w:tc>
        <w:tc>
          <w:tcPr>
            <w:tcW w:w="23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(1 3 2)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t>1</w:t>
            </w:r>
          </w:p>
        </w:tc>
        <w:tc>
          <w:tcPr>
            <w:tcW w:w="27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i/>
                <w:iCs/>
              </w:rPr>
              <w:t>k</w:t>
            </w:r>
          </w:p>
        </w:tc>
      </w:tr>
    </w:tbl>
    <w:p w:rsidR="00DA2A14" w:rsidRDefault="00DA2A14">
      <w:pPr>
        <w:spacing w:after="120"/>
      </w:pPr>
    </w:p>
    <w:p w:rsidR="00DA2A14" w:rsidRDefault="008B5696">
      <w:pPr>
        <w:pStyle w:val="Heading2"/>
      </w:pPr>
      <w:bookmarkStart w:id="10" w:name="_Toc231311301"/>
      <w:r>
        <w:t>3.2. Zastosowanie lematu Burnside'a</w:t>
      </w:r>
      <w:bookmarkEnd w:id="10"/>
    </w:p>
    <w:p w:rsidR="00DA2A14" w:rsidRDefault="008B5696">
      <w:r>
        <w:t>Podstawiając wartości z tabeli 1 do wzoru (2) i korzystając z |</w:t>
      </w:r>
      <w:r>
        <w:rPr>
          <w:i/>
          <w:iCs/>
        </w:rPr>
        <w:t>G</w:t>
      </w:r>
      <w:r>
        <w:t>| = 3, otrzymujemy: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N = (1/3)·(k³ + k + k) = (k³ + 2k) / 3.    (4)</w:t>
      </w:r>
    </w:p>
    <w:p w:rsidR="00DA2A14" w:rsidRDefault="008B5696">
      <w:r>
        <w:t>Jest to szukana liczba różnych sposobów pokolorowania wierzchołków trójkąta. Wzór można też zapisać równoważnie jako N = k(k²</w:t>
      </w:r>
      <w:r>
        <w:t xml:space="preserve"> + 2) / 3.</w:t>
      </w:r>
    </w:p>
    <w:p w:rsidR="00DA2A14" w:rsidRDefault="008B5696">
      <w:pPr>
        <w:pStyle w:val="Heading2"/>
      </w:pPr>
      <w:bookmarkStart w:id="11" w:name="_Toc231311302"/>
      <w:r>
        <w:t>3.3. Całkowitoliczbowość wyniku</w:t>
      </w:r>
      <w:bookmarkEnd w:id="11"/>
    </w:p>
    <w:p w:rsidR="00DA2A14" w:rsidRDefault="008B5696">
      <w:r>
        <w:t>Choć we wzorze (4) występuje dzielenie przez 3, wartość N jest zawsze liczbą całkowitą. Przekształćmy licznik: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lastRenderedPageBreak/>
        <w:t>k³ + 2k = (k³ − k) + 3k = (k−1)·k·(k+1) + 3k.</w:t>
      </w:r>
    </w:p>
    <w:p w:rsidR="00DA2A14" w:rsidRDefault="008B5696">
      <w:r>
        <w:t xml:space="preserve">Iloczyn (k−1)·k·(k+1) to trzy kolejne liczby całkowite, </w:t>
      </w:r>
      <w:r>
        <w:t>a wśród każdych trzech kolejnych liczb całkowitych dokładnie jedna jest podzielna przez 3, więc cały iloczyn dzieli się przez 3.</w:t>
      </w:r>
      <w:r>
        <w:rPr>
          <w:rStyle w:val="FootnoteReference"/>
        </w:rPr>
        <w:footnoteReference w:id="4"/>
      </w:r>
      <w:r>
        <w:t xml:space="preserve"> Składnik 3k również jest podzielny przez 3, zatem suma k³+2k dzieli się przez 3 i iloraz N jest liczbą całkowitą.</w:t>
      </w:r>
    </w:p>
    <w:p w:rsidR="00DA2A14" w:rsidRDefault="008B5696">
      <w:pPr>
        <w:pStyle w:val="Heading2"/>
      </w:pPr>
      <w:bookmarkStart w:id="12" w:name="_Toc231311303"/>
      <w:r>
        <w:t>3.4. Weryfik</w:t>
      </w:r>
      <w:r>
        <w:t>acja na małych przypadkach</w:t>
      </w:r>
      <w:bookmarkEnd w:id="12"/>
    </w:p>
    <w:p w:rsidR="00DA2A14" w:rsidRDefault="008B5696">
      <w:r>
        <w:t>Dla sprawdzenia poprawności wzoru (4) obliczamy N dla kilku małych wartości k (tabela 2).</w:t>
      </w:r>
    </w:p>
    <w:p w:rsidR="00DA2A14" w:rsidRDefault="008B5696">
      <w:pPr>
        <w:pStyle w:val="Caption"/>
      </w:pPr>
      <w:r>
        <w:rPr>
          <w:b/>
          <w:bCs/>
        </w:rPr>
        <w:t>Tabela 2.</w:t>
      </w:r>
      <w:r>
        <w:t xml:space="preserve"> Liczba różnych kolorowań N dla kolejnych wartości k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900"/>
        <w:gridCol w:w="900"/>
        <w:gridCol w:w="900"/>
        <w:gridCol w:w="900"/>
        <w:gridCol w:w="900"/>
        <w:gridCol w:w="900"/>
      </w:tblGrid>
      <w:tr w:rsidR="00DA2A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k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DA2A1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2A14" w:rsidRDefault="008B5696">
            <w:pPr>
              <w:jc w:val="center"/>
            </w:pPr>
            <w:r>
              <w:rPr>
                <w:i/>
                <w:iCs/>
              </w:rPr>
              <w:t>N</w:t>
            </w:r>
            <w:r>
              <w:t xml:space="preserve"> = (k³+2k)/3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t>4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t>11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t>24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2A14" w:rsidRDefault="008B5696">
            <w:pPr>
              <w:jc w:val="center"/>
            </w:pPr>
            <w:r>
              <w:t>45</w:t>
            </w:r>
          </w:p>
        </w:tc>
      </w:tr>
    </w:tbl>
    <w:p w:rsidR="00DA2A14" w:rsidRDefault="00DA2A14">
      <w:pPr>
        <w:spacing w:after="120"/>
      </w:pPr>
    </w:p>
    <w:p w:rsidR="00DA2A14" w:rsidRDefault="008B5696">
      <w:r>
        <w:t>Przypadek k = 2 łatwo zweryfikować ręcznie. Oznaczając kolory przez A oraz B i zapisując kolorowanie jako trójkę (w.1, w.2, w.3), otrzymujemy cztery klasy równoważne względem obrotu:</w:t>
      </w:r>
    </w:p>
    <w:p w:rsidR="00DA2A14" w:rsidRDefault="008B5696">
      <w:pPr>
        <w:pStyle w:val="ListParagraph"/>
        <w:numPr>
          <w:ilvl w:val="0"/>
          <w:numId w:val="3"/>
        </w:numPr>
      </w:pPr>
      <w:r>
        <w:t>(A, A, A) – wszystkie wierzchołki w kolorze A;</w:t>
      </w:r>
    </w:p>
    <w:p w:rsidR="00DA2A14" w:rsidRDefault="008B5696">
      <w:pPr>
        <w:pStyle w:val="ListParagraph"/>
        <w:numPr>
          <w:ilvl w:val="0"/>
          <w:numId w:val="3"/>
        </w:numPr>
      </w:pPr>
      <w:r>
        <w:t>(B, B, B) – wszystkie wier</w:t>
      </w:r>
      <w:r>
        <w:t>zchołki w kolorze B;</w:t>
      </w:r>
    </w:p>
    <w:p w:rsidR="00DA2A14" w:rsidRDefault="008B5696">
      <w:pPr>
        <w:pStyle w:val="ListParagraph"/>
        <w:numPr>
          <w:ilvl w:val="0"/>
          <w:numId w:val="3"/>
        </w:numPr>
      </w:pPr>
      <w:r>
        <w:t>{(A, A, B), (A, B, A), (B, A, A)} – dwa razy A, raz B;</w:t>
      </w:r>
    </w:p>
    <w:p w:rsidR="00DA2A14" w:rsidRDefault="008B5696">
      <w:pPr>
        <w:pStyle w:val="ListParagraph"/>
        <w:numPr>
          <w:ilvl w:val="0"/>
          <w:numId w:val="3"/>
        </w:numPr>
      </w:pPr>
      <w:r>
        <w:t>{(A, B, B), (B, A, B), (B, B, A)} – raz A, dwa razy B.</w:t>
      </w:r>
    </w:p>
    <w:p w:rsidR="00DA2A14" w:rsidRDefault="008B5696">
      <w:r>
        <w:t xml:space="preserve">Każda z trzech trójek w klasach 3 i 4 powstaje z pozostałych przez obrót, więc tworzą one po jednej orbicie. Otrzymujemy N = </w:t>
      </w:r>
      <w:r>
        <w:t>4, co jest zgodne z tabelą 2.</w:t>
      </w:r>
    </w:p>
    <w:p w:rsidR="00DA2A14" w:rsidRDefault="008B5696">
      <w:pPr>
        <w:pStyle w:val="Heading1"/>
      </w:pPr>
      <w:bookmarkStart w:id="13" w:name="_Toc231311304"/>
      <w:r>
        <w:t>4. Algorytm</w:t>
      </w:r>
      <w:bookmarkEnd w:id="13"/>
    </w:p>
    <w:p w:rsidR="00DA2A14" w:rsidRDefault="008B5696">
      <w:pPr>
        <w:pStyle w:val="Heading2"/>
      </w:pPr>
      <w:bookmarkStart w:id="14" w:name="_Toc231311305"/>
      <w:r>
        <w:t>4.1. Opis słowny</w:t>
      </w:r>
      <w:bookmarkEnd w:id="14"/>
    </w:p>
    <w:p w:rsidR="00DA2A14" w:rsidRDefault="008B5696">
      <w:r>
        <w:t>Po wyprowadzeniu wzoru (4) algorytm jest bardzo prosty: dla danej liczby kolorów k wystarczy podstawić ją do wzoru N = (k³+2k)/3. Dodatkowo, dla ujemnej liczby kolorów (sytuacja niemająca sensu kom</w:t>
      </w:r>
      <w:r>
        <w:t>binatorycznego) zwracamy 0, traktując takie wejście jako brak dopuszczalnych kolorowań.</w:t>
      </w:r>
    </w:p>
    <w:p w:rsidR="00DA2A14" w:rsidRDefault="008B5696">
      <w:pPr>
        <w:pStyle w:val="Heading2"/>
      </w:pPr>
      <w:bookmarkStart w:id="15" w:name="_Toc231311306"/>
      <w:r>
        <w:lastRenderedPageBreak/>
        <w:t>4.2. Lista kroków</w:t>
      </w:r>
      <w:bookmarkEnd w:id="15"/>
    </w:p>
    <w:p w:rsidR="00DA2A14" w:rsidRDefault="008B5696">
      <w:pPr>
        <w:pStyle w:val="ListParagraph"/>
        <w:numPr>
          <w:ilvl w:val="0"/>
          <w:numId w:val="4"/>
        </w:numPr>
      </w:pPr>
      <w:r>
        <w:t>Wczytaj liczbę kolorów k (liczba całkowita).</w:t>
      </w:r>
    </w:p>
    <w:p w:rsidR="00DA2A14" w:rsidRDefault="008B5696">
      <w:pPr>
        <w:pStyle w:val="ListParagraph"/>
        <w:numPr>
          <w:ilvl w:val="0"/>
          <w:numId w:val="4"/>
        </w:numPr>
      </w:pPr>
      <w:r>
        <w:t>Jeśli k &lt; 0, zwróć 0 i zakończ.</w:t>
      </w:r>
    </w:p>
    <w:p w:rsidR="00DA2A14" w:rsidRDefault="008B5696">
      <w:pPr>
        <w:pStyle w:val="ListParagraph"/>
        <w:numPr>
          <w:ilvl w:val="0"/>
          <w:numId w:val="4"/>
        </w:numPr>
      </w:pPr>
      <w:r>
        <w:t>Oblicz N = (k³ + 2k) / 3.</w:t>
      </w:r>
    </w:p>
    <w:p w:rsidR="00DA2A14" w:rsidRDefault="008B5696">
      <w:pPr>
        <w:pStyle w:val="ListParagraph"/>
        <w:numPr>
          <w:ilvl w:val="0"/>
          <w:numId w:val="4"/>
        </w:numPr>
      </w:pPr>
      <w:r>
        <w:t>Zwróć wartość N.</w:t>
      </w:r>
    </w:p>
    <w:p w:rsidR="00DA2A14" w:rsidRDefault="008B5696">
      <w:pPr>
        <w:pStyle w:val="Heading2"/>
      </w:pPr>
      <w:bookmarkStart w:id="16" w:name="_Toc231311307"/>
      <w:r>
        <w:t>4.3. Pseudokod</w:t>
      </w:r>
      <w:bookmarkEnd w:id="16"/>
    </w:p>
    <w:p w:rsidR="00DA2A14" w:rsidRDefault="008B5696">
      <w:pPr>
        <w:spacing w:before="120" w:after="40"/>
      </w:pPr>
      <w:r>
        <w:rPr>
          <w:b/>
          <w:bCs/>
        </w:rPr>
        <w:t>Listing 1.</w:t>
      </w:r>
      <w:r>
        <w:t xml:space="preserve"> Pseudokod wyznaczania liczby kolorowań</w:t>
      </w:r>
    </w:p>
    <w:tbl>
      <w:tblPr>
        <w:tblW w:w="90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A2A1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Wejście:  liczba kolorów k (liczba całkowita)</w:t>
            </w:r>
          </w:p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Wyjście:  liczba różnych kolorowań N</w:t>
            </w:r>
          </w:p>
          <w:p w:rsidR="00DA2A14" w:rsidRDefault="00DA2A14">
            <w:pPr>
              <w:spacing w:line="240" w:lineRule="exact"/>
            </w:pPr>
          </w:p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jeżeli k &lt; 0 to</w:t>
            </w:r>
          </w:p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zwróć 0</w:t>
            </w:r>
          </w:p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 ← (k³ + 2·k) / 3</w:t>
            </w:r>
          </w:p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zwróć N</w:t>
            </w:r>
          </w:p>
        </w:tc>
      </w:tr>
    </w:tbl>
    <w:p w:rsidR="00DA2A14" w:rsidRDefault="008B5696">
      <w:pPr>
        <w:pStyle w:val="Heading2"/>
      </w:pPr>
      <w:bookmarkStart w:id="17" w:name="_Toc231311308"/>
      <w:r>
        <w:t>4.4. Implementacja</w:t>
      </w:r>
      <w:bookmarkEnd w:id="17"/>
    </w:p>
    <w:p w:rsidR="00DA2A14" w:rsidRDefault="008B5696">
      <w:r>
        <w:t>Implementacja w języku JavaScript (listing 2) wynika wpro</w:t>
      </w:r>
      <w:r>
        <w:t xml:space="preserve">st z pseudokodu. Funkcja </w:t>
      </w:r>
      <w:r>
        <w:rPr>
          <w:rFonts w:ascii="Courier New" w:eastAsia="Courier New" w:hAnsi="Courier New" w:cs="Courier New"/>
          <w:sz w:val="20"/>
          <w:szCs w:val="20"/>
        </w:rPr>
        <w:t>countTriangleColorings</w:t>
      </w:r>
      <w:r>
        <w:t xml:space="preserve"> przyjmuje liczbę kolorów i zwraca liczbę różnych kolorowań.</w:t>
      </w:r>
    </w:p>
    <w:p w:rsidR="00DA2A14" w:rsidRDefault="008B5696">
      <w:pPr>
        <w:spacing w:before="120" w:after="40"/>
      </w:pPr>
      <w:r>
        <w:rPr>
          <w:b/>
          <w:bCs/>
        </w:rPr>
        <w:t>Listing 2.</w:t>
      </w:r>
      <w:r>
        <w:t xml:space="preserve"> Implementacja w języku JavaScript</w:t>
      </w:r>
    </w:p>
    <w:tbl>
      <w:tblPr>
        <w:tblW w:w="90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A2A1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A2A14" w:rsidRPr="00ED3505" w:rsidRDefault="008B5696">
            <w:pPr>
              <w:spacing w:line="240" w:lineRule="exact"/>
              <w:rPr>
                <w:lang w:val="en-US"/>
              </w:rPr>
            </w:pPr>
            <w:r w:rsidRPr="00ED35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function countTriangleColorings(k) {</w:t>
            </w:r>
          </w:p>
          <w:p w:rsidR="00DA2A14" w:rsidRPr="00ED3505" w:rsidRDefault="008B5696">
            <w:pPr>
              <w:spacing w:line="240" w:lineRule="exact"/>
              <w:rPr>
                <w:lang w:val="en-US"/>
              </w:rPr>
            </w:pPr>
            <w:r w:rsidRPr="00ED35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if (k &lt; 0) return 0;</w:t>
            </w:r>
          </w:p>
          <w:p w:rsidR="00DA2A14" w:rsidRPr="00ED3505" w:rsidRDefault="008B5696">
            <w:pPr>
              <w:spacing w:line="240" w:lineRule="exact"/>
              <w:rPr>
                <w:lang w:val="en-US"/>
              </w:rPr>
            </w:pPr>
            <w:r w:rsidRPr="00ED35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return (Math.pow(k, 3) + 2 * k) / 3;</w:t>
            </w:r>
          </w:p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:rsidR="00DA2A14" w:rsidRDefault="008B5696">
      <w:r>
        <w:t xml:space="preserve">Powyższa wersja korzysta z arytmetyki zmiennoprzecinkowej – funkcja </w:t>
      </w:r>
      <w:r>
        <w:rPr>
          <w:rFonts w:ascii="Courier New" w:eastAsia="Courier New" w:hAnsi="Courier New" w:cs="Courier New"/>
          <w:sz w:val="20"/>
          <w:szCs w:val="20"/>
        </w:rPr>
        <w:t>Math.pow</w:t>
      </w:r>
      <w:r>
        <w:t xml:space="preserve"> zwraca liczbę typu </w:t>
      </w:r>
      <w:r>
        <w:rPr>
          <w:i/>
          <w:iCs/>
        </w:rPr>
        <w:t>double</w:t>
      </w:r>
      <w:r>
        <w:t>, a dzielenie przez 3 także wykonywane jest na liczbach zmiennoprzecinkowych. Dla dużych wartości k może to prowadzić do utraty dokładności, mimo że wynik</w:t>
      </w:r>
      <w:r>
        <w:t xml:space="preserve"> jest matematycznie liczbą całkowitą. Z tego powodu w zastosowaniach praktycznych korzystniejsza bywa arytmetyka całkowitoliczbowa, jak w implementacji w języku C++ (listing 3).</w:t>
      </w:r>
    </w:p>
    <w:p w:rsidR="00DA2A14" w:rsidRDefault="008B5696">
      <w:pPr>
        <w:spacing w:before="120" w:after="40"/>
      </w:pPr>
      <w:r>
        <w:rPr>
          <w:b/>
          <w:bCs/>
        </w:rPr>
        <w:t>Listing 3.</w:t>
      </w:r>
      <w:r>
        <w:t xml:space="preserve"> Implementacja w języku C++ (arytmetyka całkowitoliczbowa)</w:t>
      </w:r>
    </w:p>
    <w:tbl>
      <w:tblPr>
        <w:tblW w:w="90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A2A14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A2A14" w:rsidRPr="00ED3505" w:rsidRDefault="008B5696">
            <w:pPr>
              <w:spacing w:line="240" w:lineRule="exact"/>
              <w:rPr>
                <w:lang w:val="en-US"/>
              </w:rPr>
            </w:pPr>
            <w:r w:rsidRPr="00ED35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long long</w:t>
            </w:r>
            <w:r w:rsidRPr="00ED35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countTriangleColorings(long long k) {</w:t>
            </w:r>
          </w:p>
          <w:p w:rsidR="00DA2A14" w:rsidRPr="00ED3505" w:rsidRDefault="008B5696">
            <w:pPr>
              <w:spacing w:line="240" w:lineRule="exact"/>
              <w:rPr>
                <w:lang w:val="en-US"/>
              </w:rPr>
            </w:pPr>
            <w:r w:rsidRPr="00ED35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if (k &lt; 0) return 0;</w:t>
            </w:r>
          </w:p>
          <w:p w:rsidR="00DA2A14" w:rsidRPr="00ED3505" w:rsidRDefault="008B5696">
            <w:pPr>
              <w:spacing w:line="240" w:lineRule="exact"/>
              <w:rPr>
                <w:lang w:val="en-US"/>
              </w:rPr>
            </w:pPr>
            <w:r w:rsidRPr="00ED350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return (k * k * k + 2 * k) / 3;</w:t>
            </w:r>
          </w:p>
          <w:p w:rsidR="00DA2A14" w:rsidRDefault="008B5696">
            <w:pPr>
              <w:spacing w:line="240" w:lineRule="exact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:rsidR="00DA2A14" w:rsidRDefault="008B5696">
      <w:r>
        <w:t xml:space="preserve">Dla bardzo dużych k iloczyn k·k·k może przekroczyć zakres typu </w:t>
      </w:r>
      <w:r>
        <w:rPr>
          <w:rFonts w:ascii="Courier New" w:eastAsia="Courier New" w:hAnsi="Courier New" w:cs="Courier New"/>
          <w:sz w:val="20"/>
          <w:szCs w:val="20"/>
        </w:rPr>
        <w:t>long long</w:t>
      </w:r>
      <w:r>
        <w:t xml:space="preserve">; w takiej sytuacji należałoby użyć typu o większym zakresie (np. </w:t>
      </w:r>
      <w:r>
        <w:rPr>
          <w:rFonts w:ascii="Courier New" w:eastAsia="Courier New" w:hAnsi="Courier New" w:cs="Courier New"/>
          <w:sz w:val="20"/>
          <w:szCs w:val="20"/>
        </w:rPr>
        <w:t>__int128</w:t>
      </w:r>
      <w:r>
        <w:t xml:space="preserve">) lub arytmetyki liczb dowolnej precyzji (w JavaScript – typu </w:t>
      </w:r>
      <w:r>
        <w:rPr>
          <w:rFonts w:ascii="Courier New" w:eastAsia="Courier New" w:hAnsi="Courier New" w:cs="Courier New"/>
          <w:sz w:val="20"/>
          <w:szCs w:val="20"/>
        </w:rPr>
        <w:t>BigInt</w:t>
      </w:r>
      <w:r>
        <w:t>).</w:t>
      </w:r>
    </w:p>
    <w:p w:rsidR="00DA2A14" w:rsidRDefault="008B5696">
      <w:pPr>
        <w:pStyle w:val="Heading2"/>
      </w:pPr>
      <w:bookmarkStart w:id="18" w:name="_Toc231311309"/>
      <w:r>
        <w:lastRenderedPageBreak/>
        <w:t>4.5. Złożoność obliczeniowa</w:t>
      </w:r>
      <w:bookmarkEnd w:id="18"/>
    </w:p>
    <w:p w:rsidR="00DA2A14" w:rsidRDefault="008B5696">
      <w:r>
        <w:t>Algorytm wykonuje stałą liczbę operacji arytmetycznych (jedno potęgowanie, jedno mnożenie, jedno dodawanie i jedno dzielenie), niezależną od wartości k. Przy</w:t>
      </w:r>
      <w:r>
        <w:t xml:space="preserve"> założeniu jednostkowego kosztu operacji na liczbach mieszczących się w słowie maszynowym jego złożoność czasowa wynosi O(1), a złożoność pamięciowa O(1).</w:t>
      </w:r>
      <w:r>
        <w:rPr>
          <w:rStyle w:val="FootnoteReference"/>
        </w:rPr>
        <w:footnoteReference w:id="5"/>
      </w:r>
      <w:r>
        <w:t xml:space="preserve"> Dla porównania, naiwne wygenerowanie i deduplikacja wszystkich kolorowań wymagałyby przejrzenia k³ p</w:t>
      </w:r>
      <w:r>
        <w:t>rzypadków, czyli czasu O(k³). Dla liczb k o b bitach, gdy uwzględnimy koszt arytmetyki dużych liczb, czas jest zdominowany przez obliczenie k³ i rośnie wraz z b, lecz wciąż pozostaje niezależny od liczby kolorowań.</w:t>
      </w:r>
    </w:p>
    <w:p w:rsidR="00DA2A14" w:rsidRDefault="008B5696">
      <w:pPr>
        <w:pStyle w:val="Heading1"/>
      </w:pPr>
      <w:bookmarkStart w:id="19" w:name="_Toc231311310"/>
      <w:r>
        <w:t>5. Odpowiedź</w:t>
      </w:r>
      <w:bookmarkEnd w:id="19"/>
    </w:p>
    <w:p w:rsidR="00DA2A14" w:rsidRDefault="008B5696">
      <w:r>
        <w:t>Liczba różnych sposobów pokolorowania wierzchołków trójkąta równobocznego przy użyciu niektórych bądź wszystkich spośród k kolorów, przy utożsamieniu kolorowań różniących się jedynie obrotem, wynosi</w:t>
      </w:r>
    </w:p>
    <w:tbl>
      <w:tblPr>
        <w:tblW w:w="60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DA2A14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A2A14" w:rsidRDefault="008B5696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N = (k³ + 2k) / 3     dla k ≥ 0,</w:t>
            </w:r>
          </w:p>
        </w:tc>
      </w:tr>
    </w:tbl>
    <w:p w:rsidR="00DA2A14" w:rsidRDefault="00DA2A14">
      <w:pPr>
        <w:spacing w:before="80"/>
      </w:pPr>
    </w:p>
    <w:p w:rsidR="00DA2A14" w:rsidRDefault="008B5696">
      <w:r>
        <w:t>a dla k &lt; 0 przyjmujem</w:t>
      </w:r>
      <w:r>
        <w:t>y N = 0 (zgodnie z konwencją przyjętą w implementacji). Przykładowo dla k = 3 otrzymujemy N = 11 różnych kolorowań.</w:t>
      </w:r>
    </w:p>
    <w:p w:rsidR="00DA2A14" w:rsidRDefault="008B5696">
      <w:pPr>
        <w:pStyle w:val="Heading1"/>
      </w:pPr>
      <w:bookmarkStart w:id="20" w:name="_Toc231311311"/>
      <w:r>
        <w:t>6. Wnioski</w:t>
      </w:r>
      <w:bookmarkEnd w:id="20"/>
    </w:p>
    <w:p w:rsidR="00DA2A14" w:rsidRDefault="008B5696">
      <w:r>
        <w:t xml:space="preserve">Lemat Burnside'a okazał się skutecznym narzędziem: zamiast generować i porównywać wszystkie k³ kolorowań, sprowadziliśmy zadanie </w:t>
      </w:r>
      <w:r>
        <w:t>do zsumowania liczby punktów stałych trzech obrotów i uzyskaliśmy zwarty wzór (4). Z punktu widzenia algorytmiki oznacza to redukcję problemu o potencjalnie wykładniczej liczbie obiektów do obliczenia o stałej złożoności O(1).</w:t>
      </w:r>
    </w:p>
    <w:p w:rsidR="00DA2A14" w:rsidRDefault="008B5696">
      <w:r>
        <w:t>Otrzymana wartość N = (k³+2k)</w:t>
      </w:r>
      <w:r>
        <w:t xml:space="preserve">/3 pokrywa się z liczbą tzw. </w:t>
      </w:r>
      <w:r>
        <w:rPr>
          <w:i/>
          <w:iCs/>
        </w:rPr>
        <w:t>naszyjników</w:t>
      </w:r>
      <w:r>
        <w:t xml:space="preserve"> (z ang. </w:t>
      </w:r>
      <w:r>
        <w:rPr>
          <w:i/>
          <w:iCs/>
        </w:rPr>
        <w:t>necklaces</w:t>
      </w:r>
      <w:r>
        <w:t xml:space="preserve">) o trzech koralikach w k kolorach, rozróżnialnych z dokładnością do obrotu. Ogólny wzór na </w:t>
      </w:r>
      <w:r>
        <w:lastRenderedPageBreak/>
        <w:t xml:space="preserve">liczbę takich naszyjników o n koralikach ma postać (1/n)·Σ_{d|n} φ(d)·k^{n/d}, gdzie φ to funkcja Eulera; </w:t>
      </w:r>
      <w:r>
        <w:t>dla n = 3 daje on (1/3)·(k³ + 2k), co potwierdza nasz wynik.</w:t>
      </w:r>
      <w:r>
        <w:rPr>
          <w:rStyle w:val="FootnoteReference"/>
        </w:rPr>
        <w:footnoteReference w:id="6"/>
      </w:r>
    </w:p>
    <w:p w:rsidR="00DA2A14" w:rsidRDefault="008B5696">
      <w:r>
        <w:t>Warto zauważyć, jak zmieniłby się wynik, gdyby – wbrew treści zadania – dopuścić również odbicia. Pełna grupa symetrii trójkąta równobocznego to wówczas grupa dihedralna D₃ rzędu 6. Każde z trze</w:t>
      </w:r>
      <w:r>
        <w:t>ch odbić ustala jeden wierzchołek i zamienia miejscami dwa pozostałe, co odpowiada strukturze cykli z jednym cyklem jednoelementowym i jednym dwuelementowym, a więc k² punktom stałym. Lemat Burnside'a daje wtedy</w:t>
      </w:r>
    </w:p>
    <w:p w:rsidR="00DA2A14" w:rsidRDefault="008B5696">
      <w:pPr>
        <w:spacing w:before="120" w:after="120"/>
        <w:jc w:val="center"/>
      </w:pPr>
      <w:r>
        <w:rPr>
          <w:i/>
          <w:iCs/>
        </w:rPr>
        <w:t>N_{D₃} = (1/6)·(k³ + 2k + 3k²) = k·(k+1)·(k+</w:t>
      </w:r>
      <w:r>
        <w:rPr>
          <w:i/>
          <w:iCs/>
        </w:rPr>
        <w:t>2) / 6,</w:t>
      </w:r>
    </w:p>
    <w:p w:rsidR="00DA2A14" w:rsidRDefault="008B5696">
      <w:r>
        <w:t>czyli np. 10 kolorowań dla k = 3 (o jedno mniej niż przy samych obrotach, gdyż jedna para kolorowań „lustrzanych” zostaje wówczas utożsamiona).</w:t>
      </w:r>
    </w:p>
    <w:p w:rsidR="00DA2A14" w:rsidRDefault="008B5696">
      <w:r>
        <w:t xml:space="preserve">Na koniec warto wspomnieć, że lemat Burnside'a jest szczególnym przypadkiem ogólniejszego </w:t>
      </w:r>
      <w:r>
        <w:rPr>
          <w:i/>
          <w:iCs/>
        </w:rPr>
        <w:t>twierdzenia Pó</w:t>
      </w:r>
      <w:r>
        <w:rPr>
          <w:i/>
          <w:iCs/>
        </w:rPr>
        <w:t>lyi o zliczaniu</w:t>
      </w:r>
      <w:r>
        <w:t xml:space="preserve"> (z ang. </w:t>
      </w:r>
      <w:r>
        <w:rPr>
          <w:i/>
          <w:iCs/>
        </w:rPr>
        <w:t>Pólya enumeration theorem</w:t>
      </w:r>
      <w:r>
        <w:t>), które dodatkowo pozwala śledzić, ilu wierzchołkom przypisano poszczególne kolory, posługując się tzw. indeksem cyklowym grupy.</w:t>
      </w:r>
      <w:r>
        <w:rPr>
          <w:rStyle w:val="FootnoteReference"/>
        </w:rPr>
        <w:footnoteReference w:id="7"/>
      </w:r>
    </w:p>
    <w:p w:rsidR="00DA2A14" w:rsidRDefault="008B5696">
      <w:r>
        <w:br w:type="page"/>
      </w:r>
    </w:p>
    <w:p w:rsidR="00DA2A14" w:rsidRDefault="008B5696">
      <w:pPr>
        <w:pStyle w:val="Heading1"/>
      </w:pPr>
      <w:bookmarkStart w:id="21" w:name="_Toc231311312"/>
      <w:r>
        <w:lastRenderedPageBreak/>
        <w:t>Bibliografia</w:t>
      </w:r>
      <w:bookmarkEnd w:id="21"/>
    </w:p>
    <w:p w:rsidR="00DA2A14" w:rsidRPr="00ED3505" w:rsidRDefault="008B5696">
      <w:pPr>
        <w:pStyle w:val="ListParagraph"/>
        <w:numPr>
          <w:ilvl w:val="0"/>
          <w:numId w:val="5"/>
        </w:numPr>
        <w:rPr>
          <w:lang w:val="en-US"/>
        </w:rPr>
      </w:pPr>
      <w:r w:rsidRPr="00ED3505">
        <w:rPr>
          <w:lang w:val="en-US"/>
        </w:rPr>
        <w:t xml:space="preserve">M. Aigner, </w:t>
      </w:r>
      <w:r w:rsidRPr="00ED3505">
        <w:rPr>
          <w:i/>
          <w:iCs/>
          <w:lang w:val="en-US"/>
        </w:rPr>
        <w:t>Combinatorial Theory</w:t>
      </w:r>
      <w:r w:rsidRPr="00ED3505">
        <w:rPr>
          <w:lang w:val="en-US"/>
        </w:rPr>
        <w:t>, Springer-Verlag, Berlin 1997</w:t>
      </w:r>
      <w:r w:rsidRPr="00ED3505">
        <w:rPr>
          <w:lang w:val="en-US"/>
        </w:rPr>
        <w:t>.</w:t>
      </w:r>
    </w:p>
    <w:p w:rsidR="00DA2A14" w:rsidRDefault="008B5696">
      <w:pPr>
        <w:pStyle w:val="ListParagraph"/>
        <w:numPr>
          <w:ilvl w:val="0"/>
          <w:numId w:val="5"/>
        </w:numPr>
      </w:pPr>
      <w:r>
        <w:t xml:space="preserve">T.H. Cormen, C.E. Leiserson, R.L. Rivest, C. Stein, </w:t>
      </w:r>
      <w:r>
        <w:rPr>
          <w:i/>
          <w:iCs/>
        </w:rPr>
        <w:t>Wprowadzenie do algorytmów</w:t>
      </w:r>
      <w:r>
        <w:t>, Wydawnictwo Naukowe PWN, Warszawa 2012.</w:t>
      </w:r>
    </w:p>
    <w:p w:rsidR="00DA2A14" w:rsidRPr="00ED3505" w:rsidRDefault="008B5696">
      <w:pPr>
        <w:pStyle w:val="ListParagraph"/>
        <w:numPr>
          <w:ilvl w:val="0"/>
          <w:numId w:val="5"/>
        </w:numPr>
        <w:rPr>
          <w:lang w:val="en-US"/>
        </w:rPr>
      </w:pPr>
      <w:r w:rsidRPr="00ED3505">
        <w:rPr>
          <w:lang w:val="en-US"/>
        </w:rPr>
        <w:t xml:space="preserve">R.L. Graham, D.E. Knuth, O. Patashnik, </w:t>
      </w:r>
      <w:r w:rsidRPr="00ED3505">
        <w:rPr>
          <w:i/>
          <w:iCs/>
          <w:lang w:val="en-US"/>
        </w:rPr>
        <w:t>Concrete Mathematics</w:t>
      </w:r>
      <w:r w:rsidRPr="00ED3505">
        <w:rPr>
          <w:lang w:val="en-US"/>
        </w:rPr>
        <w:t>, wyd. 2, Addison-Wesley, Reading 1994.</w:t>
      </w:r>
    </w:p>
    <w:p w:rsidR="00DA2A14" w:rsidRDefault="008B5696">
      <w:pPr>
        <w:pStyle w:val="ListParagraph"/>
        <w:numPr>
          <w:ilvl w:val="0"/>
          <w:numId w:val="5"/>
        </w:numPr>
      </w:pPr>
      <w:r>
        <w:t xml:space="preserve">W. Lipski, </w:t>
      </w:r>
      <w:r>
        <w:rPr>
          <w:i/>
          <w:iCs/>
        </w:rPr>
        <w:t>Kombinatoryka dla programistów</w:t>
      </w:r>
      <w:r>
        <w:t>, Wydawnictwa Naukowo-Techniczne, Warszawa 1982.</w:t>
      </w:r>
    </w:p>
    <w:p w:rsidR="00DA2A14" w:rsidRPr="00ED3505" w:rsidRDefault="008B5696">
      <w:pPr>
        <w:pStyle w:val="ListParagraph"/>
        <w:numPr>
          <w:ilvl w:val="0"/>
          <w:numId w:val="5"/>
        </w:numPr>
        <w:rPr>
          <w:lang w:val="en-US"/>
        </w:rPr>
      </w:pPr>
      <w:r w:rsidRPr="00ED3505">
        <w:rPr>
          <w:lang w:val="en-US"/>
        </w:rPr>
        <w:t xml:space="preserve">J.H. van Lint, R.M. Wilson, </w:t>
      </w:r>
      <w:r w:rsidRPr="00ED3505">
        <w:rPr>
          <w:i/>
          <w:iCs/>
          <w:lang w:val="en-US"/>
        </w:rPr>
        <w:t>A Course in Combinatorics</w:t>
      </w:r>
      <w:r w:rsidRPr="00ED3505">
        <w:rPr>
          <w:lang w:val="en-US"/>
        </w:rPr>
        <w:t>, wyd. 2, Cambridge University Press, Cambridge 2001.</w:t>
      </w:r>
    </w:p>
    <w:sectPr w:rsidR="00DA2A14" w:rsidRPr="00ED3505">
      <w:headerReference w:type="default" r:id="rId13"/>
      <w:footerReference w:type="default" r:id="rId14"/>
      <w:pgSz w:w="11905" w:h="16837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696" w:rsidRDefault="008B5696">
      <w:pPr>
        <w:spacing w:line="240" w:lineRule="auto"/>
      </w:pPr>
      <w:r>
        <w:separator/>
      </w:r>
    </w:p>
  </w:endnote>
  <w:endnote w:type="continuationSeparator" w:id="0">
    <w:p w:rsidR="008B5696" w:rsidRDefault="008B56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8B5696">
    <w:r>
      <w:cr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A14" w:rsidRDefault="008B5696">
    <w:pPr>
      <w:jc w:val="center"/>
    </w:pPr>
    <w:r>
      <w:fldChar w:fldCharType="begin"/>
    </w:r>
    <w:r>
      <w:instrText>PAG</w:instrText>
    </w:r>
    <w:r>
      <w:instrText>E</w:instrText>
    </w:r>
    <w:r>
      <w:fldChar w:fldCharType="separate"/>
    </w:r>
    <w:r w:rsidR="00ED3505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696" w:rsidRDefault="008B5696">
      <w:pPr>
        <w:spacing w:line="240" w:lineRule="auto"/>
      </w:pPr>
      <w:r>
        <w:separator/>
      </w:r>
    </w:p>
  </w:footnote>
  <w:footnote w:type="continuationSeparator" w:id="0">
    <w:p w:rsidR="008B5696" w:rsidRDefault="008B5696">
      <w:pPr>
        <w:spacing w:line="240" w:lineRule="auto"/>
      </w:pPr>
      <w:r>
        <w:continuationSeparator/>
      </w:r>
    </w:p>
  </w:footnote>
  <w:footnote w:id="1">
    <w:p w:rsidR="00DA2A14" w:rsidRDefault="008B5696">
      <w:r>
        <w:rPr>
          <w:rStyle w:val="FootnoteReference"/>
        </w:rPr>
        <w:footnoteRef/>
      </w:r>
      <w:r>
        <w:t xml:space="preserve">Pojęcie działania grupy na zbiorze oraz grup symetrii figur omawiają m.in. W. Lipski, </w:t>
      </w:r>
      <w:r>
        <w:rPr>
          <w:i/>
          <w:iCs/>
        </w:rPr>
        <w:t>Kombinatoryka dla programistów</w:t>
      </w:r>
      <w:r>
        <w:t xml:space="preserve">, WNT, Warszawa 1982 oraz J.H. van Lint, R.M. Wilson, </w:t>
      </w:r>
      <w:r>
        <w:rPr>
          <w:i/>
          <w:iCs/>
        </w:rPr>
        <w:t>A Course in Combinatorics</w:t>
      </w:r>
      <w:r>
        <w:t>, wyd. 2, Cambridge University Press, Cambridge 2001.</w:t>
      </w:r>
    </w:p>
  </w:footnote>
  <w:footnote w:id="2">
    <w:p w:rsidR="00DA2A14" w:rsidRDefault="008B5696">
      <w:r>
        <w:rPr>
          <w:rStyle w:val="FootnoteReference"/>
        </w:rPr>
        <w:footnoteRef/>
      </w:r>
      <w:r>
        <w:t xml:space="preserve">Lemat ten – mimo tradycyjnej nazwy – nie pochodzi od W. Burnside'a; był znany wcześniej A. Cauchy'emu i F.G. Frobeniusowi, dlatego bywa nazywany lematem Cauchy'ego–Frobeniusa. Dowód i kontekst podają np. M. Aigner, </w:t>
      </w:r>
      <w:r>
        <w:rPr>
          <w:i/>
          <w:iCs/>
        </w:rPr>
        <w:t>Combinatorial Theory</w:t>
      </w:r>
      <w:r>
        <w:t>, Springer, Berlin 19</w:t>
      </w:r>
      <w:r>
        <w:t>97 oraz cytowana praca van Linta i Wilsona.</w:t>
      </w:r>
    </w:p>
  </w:footnote>
  <w:footnote w:id="3">
    <w:p w:rsidR="00DA2A14" w:rsidRDefault="008B5696">
      <w:r>
        <w:rPr>
          <w:rStyle w:val="FootnoteReference"/>
        </w:rPr>
        <w:footnoteRef/>
      </w:r>
      <w:r>
        <w:t xml:space="preserve">Związek liczby punktów stałych z liczbą cykli permutacji jest standardowym krokiem w zastosowaniach lematu Burnside'a; por. W. Lipski, </w:t>
      </w:r>
      <w:r>
        <w:rPr>
          <w:i/>
          <w:iCs/>
        </w:rPr>
        <w:t>Kombinatoryka dla programistów</w:t>
      </w:r>
      <w:r>
        <w:t>, WNT, Warszawa 1982.</w:t>
      </w:r>
    </w:p>
  </w:footnote>
  <w:footnote w:id="4">
    <w:p w:rsidR="00DA2A14" w:rsidRPr="00ED3505" w:rsidRDefault="008B5696">
      <w:pPr>
        <w:rPr>
          <w:lang w:val="en-US"/>
        </w:rPr>
      </w:pPr>
      <w:r>
        <w:rPr>
          <w:rStyle w:val="FootnoteReference"/>
        </w:rPr>
        <w:footnoteRef/>
      </w:r>
      <w:r>
        <w:t>Podzielność iloczynu ko</w:t>
      </w:r>
      <w:r>
        <w:t xml:space="preserve">lejnych liczb całkowitych jest klasycznym faktem teorii liczb; por. </w:t>
      </w:r>
      <w:r w:rsidRPr="00ED3505">
        <w:rPr>
          <w:lang w:val="en-US"/>
        </w:rPr>
        <w:t xml:space="preserve">R.L. Graham, D.E. Knuth, O. Patashnik, </w:t>
      </w:r>
      <w:r w:rsidRPr="00ED3505">
        <w:rPr>
          <w:i/>
          <w:iCs/>
          <w:lang w:val="en-US"/>
        </w:rPr>
        <w:t>Concrete Mathematics</w:t>
      </w:r>
      <w:r w:rsidRPr="00ED3505">
        <w:rPr>
          <w:lang w:val="en-US"/>
        </w:rPr>
        <w:t>, wyd. 2, Addison-Wesley, Reading 1994.</w:t>
      </w:r>
    </w:p>
  </w:footnote>
  <w:footnote w:id="5">
    <w:p w:rsidR="00DA2A14" w:rsidRDefault="008B5696">
      <w:r>
        <w:rPr>
          <w:rStyle w:val="FootnoteReference"/>
        </w:rPr>
        <w:footnoteRef/>
      </w:r>
      <w:r>
        <w:t>Notację asymptotyczną oraz model kosztu operacji omawiają T.H. Cormen, C.E. Leiserson, R</w:t>
      </w:r>
      <w:r>
        <w:t xml:space="preserve">.L. Rivest, C. Stein, </w:t>
      </w:r>
      <w:r>
        <w:rPr>
          <w:i/>
          <w:iCs/>
        </w:rPr>
        <w:t>Wprowadzenie do algorytmów</w:t>
      </w:r>
      <w:r>
        <w:t>, Wydawnictwo Naukowe PWN, Warszawa 2012.</w:t>
      </w:r>
    </w:p>
  </w:footnote>
  <w:footnote w:id="6">
    <w:p w:rsidR="00DA2A14" w:rsidRDefault="008B5696">
      <w:r>
        <w:rPr>
          <w:rStyle w:val="FootnoteReference"/>
        </w:rPr>
        <w:footnoteRef/>
      </w:r>
      <w:r>
        <w:t xml:space="preserve">Zliczanie naszyjników oraz ogólne zastosowania lematu Burnside'a opisują J.H. van Lint, R.M. Wilson, </w:t>
      </w:r>
      <w:r>
        <w:rPr>
          <w:i/>
          <w:iCs/>
        </w:rPr>
        <w:t>A Course in Combinatorics</w:t>
      </w:r>
      <w:r>
        <w:t>, wyd. 2, Cambridge University Press, C</w:t>
      </w:r>
      <w:r>
        <w:t xml:space="preserve">ambridge 2001 oraz W. Lipski, </w:t>
      </w:r>
      <w:r>
        <w:rPr>
          <w:i/>
          <w:iCs/>
        </w:rPr>
        <w:t>Kombinatoryka dla programistów</w:t>
      </w:r>
      <w:r>
        <w:t>, WNT, Warszawa 1982.</w:t>
      </w:r>
    </w:p>
  </w:footnote>
  <w:footnote w:id="7">
    <w:p w:rsidR="00DA2A14" w:rsidRDefault="008B5696">
      <w:r>
        <w:rPr>
          <w:rStyle w:val="FootnoteReference"/>
        </w:rPr>
        <w:footnoteRef/>
      </w:r>
      <w:r>
        <w:t xml:space="preserve">Twierdzenie Pólyi i indeks cyklowy przedstawiają M. Aigner, </w:t>
      </w:r>
      <w:r>
        <w:rPr>
          <w:i/>
          <w:iCs/>
        </w:rPr>
        <w:t>Combinatorial Theory</w:t>
      </w:r>
      <w:r>
        <w:t>, Springer, Berlin 1997 oraz cytowana praca van Linta i Wilsona.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000" w:rsidRDefault="008B5696">
    <w:r>
      <w:cr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A14" w:rsidRDefault="008B5696">
    <w:pPr>
      <w:pBdr>
        <w:bottom w:val="single" w:sz="4" w:space="0" w:color="888888"/>
      </w:pBdr>
      <w:tabs>
        <w:tab w:val="right" w:pos="9070"/>
      </w:tabs>
    </w:pPr>
    <w:r>
      <w:rPr>
        <w:i/>
        <w:iCs/>
        <w:sz w:val="20"/>
        <w:szCs w:val="20"/>
      </w:rPr>
      <w:t>Zadanie 82 – Kolorowanie wierzchołków trójkąta</w:t>
    </w:r>
    <w:r>
      <w:rPr>
        <w:sz w:val="20"/>
        <w:szCs w:val="20"/>
      </w:rPr>
      <w:tab/>
    </w:r>
    <w:r>
      <w:rPr>
        <w:i/>
        <w:iCs/>
        <w:sz w:val="20"/>
        <w:szCs w:val="20"/>
      </w:rPr>
      <w:t>Mateusz Zaniewski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66323"/>
    <w:multiLevelType w:val="hybridMultilevel"/>
    <w:tmpl w:val="EF042BFE"/>
    <w:lvl w:ilvl="0" w:tplc="39BAFB18">
      <w:start w:val="1"/>
      <w:numFmt w:val="bullet"/>
      <w:lvlText w:val="●"/>
      <w:lvlJc w:val="left"/>
      <w:pPr>
        <w:ind w:left="720" w:hanging="360"/>
      </w:pPr>
    </w:lvl>
    <w:lvl w:ilvl="1" w:tplc="6D385ACA">
      <w:start w:val="1"/>
      <w:numFmt w:val="bullet"/>
      <w:lvlText w:val="○"/>
      <w:lvlJc w:val="left"/>
      <w:pPr>
        <w:ind w:left="1440" w:hanging="360"/>
      </w:pPr>
    </w:lvl>
    <w:lvl w:ilvl="2" w:tplc="7B083ED2">
      <w:start w:val="1"/>
      <w:numFmt w:val="bullet"/>
      <w:lvlText w:val="■"/>
      <w:lvlJc w:val="left"/>
      <w:pPr>
        <w:ind w:left="2160" w:hanging="360"/>
      </w:pPr>
    </w:lvl>
    <w:lvl w:ilvl="3" w:tplc="784C7230">
      <w:start w:val="1"/>
      <w:numFmt w:val="bullet"/>
      <w:lvlText w:val="●"/>
      <w:lvlJc w:val="left"/>
      <w:pPr>
        <w:ind w:left="2880" w:hanging="360"/>
      </w:pPr>
    </w:lvl>
    <w:lvl w:ilvl="4" w:tplc="195AF670">
      <w:start w:val="1"/>
      <w:numFmt w:val="bullet"/>
      <w:lvlText w:val="○"/>
      <w:lvlJc w:val="left"/>
      <w:pPr>
        <w:ind w:left="3600" w:hanging="360"/>
      </w:pPr>
    </w:lvl>
    <w:lvl w:ilvl="5" w:tplc="B060FF26">
      <w:start w:val="1"/>
      <w:numFmt w:val="bullet"/>
      <w:lvlText w:val="■"/>
      <w:lvlJc w:val="left"/>
      <w:pPr>
        <w:ind w:left="4320" w:hanging="360"/>
      </w:pPr>
    </w:lvl>
    <w:lvl w:ilvl="6" w:tplc="E398F7B2">
      <w:start w:val="1"/>
      <w:numFmt w:val="bullet"/>
      <w:lvlText w:val="●"/>
      <w:lvlJc w:val="left"/>
      <w:pPr>
        <w:ind w:left="5040" w:hanging="360"/>
      </w:pPr>
    </w:lvl>
    <w:lvl w:ilvl="7" w:tplc="004A518E">
      <w:start w:val="1"/>
      <w:numFmt w:val="bullet"/>
      <w:lvlText w:val="●"/>
      <w:lvlJc w:val="left"/>
      <w:pPr>
        <w:ind w:left="5760" w:hanging="360"/>
      </w:pPr>
    </w:lvl>
    <w:lvl w:ilvl="8" w:tplc="0FC65A8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89F3BB6"/>
    <w:multiLevelType w:val="hybridMultilevel"/>
    <w:tmpl w:val="CF6AA9E0"/>
    <w:lvl w:ilvl="0" w:tplc="7AB00DEE">
      <w:start w:val="1"/>
      <w:numFmt w:val="decimal"/>
      <w:lvlText w:val="%1."/>
      <w:lvlJc w:val="left"/>
      <w:pPr>
        <w:ind w:left="566" w:hanging="283"/>
      </w:pPr>
    </w:lvl>
    <w:lvl w:ilvl="1" w:tplc="E228A70A">
      <w:numFmt w:val="decimal"/>
      <w:lvlText w:val=""/>
      <w:lvlJc w:val="left"/>
    </w:lvl>
    <w:lvl w:ilvl="2" w:tplc="D7AEDD16">
      <w:numFmt w:val="decimal"/>
      <w:lvlText w:val=""/>
      <w:lvlJc w:val="left"/>
    </w:lvl>
    <w:lvl w:ilvl="3" w:tplc="20CEE6B2">
      <w:numFmt w:val="decimal"/>
      <w:lvlText w:val=""/>
      <w:lvlJc w:val="left"/>
    </w:lvl>
    <w:lvl w:ilvl="4" w:tplc="EB70D004">
      <w:numFmt w:val="decimal"/>
      <w:lvlText w:val=""/>
      <w:lvlJc w:val="left"/>
    </w:lvl>
    <w:lvl w:ilvl="5" w:tplc="D98EA664">
      <w:numFmt w:val="decimal"/>
      <w:lvlText w:val=""/>
      <w:lvlJc w:val="left"/>
    </w:lvl>
    <w:lvl w:ilvl="6" w:tplc="D3D07F7A">
      <w:numFmt w:val="decimal"/>
      <w:lvlText w:val=""/>
      <w:lvlJc w:val="left"/>
    </w:lvl>
    <w:lvl w:ilvl="7" w:tplc="0C36EEAA">
      <w:numFmt w:val="decimal"/>
      <w:lvlText w:val=""/>
      <w:lvlJc w:val="left"/>
    </w:lvl>
    <w:lvl w:ilvl="8" w:tplc="80861A8A">
      <w:numFmt w:val="decimal"/>
      <w:lvlText w:val=""/>
      <w:lvlJc w:val="left"/>
    </w:lvl>
  </w:abstractNum>
  <w:abstractNum w:abstractNumId="2">
    <w:nsid w:val="2CB8434F"/>
    <w:multiLevelType w:val="hybridMultilevel"/>
    <w:tmpl w:val="DAB8526A"/>
    <w:lvl w:ilvl="0" w:tplc="1B8ACD3A">
      <w:start w:val="1"/>
      <w:numFmt w:val="bullet"/>
      <w:lvlText w:val="–"/>
      <w:lvlJc w:val="left"/>
      <w:pPr>
        <w:ind w:left="566" w:hanging="283"/>
      </w:pPr>
    </w:lvl>
    <w:lvl w:ilvl="1" w:tplc="CF6CECA0">
      <w:numFmt w:val="decimal"/>
      <w:lvlText w:val=""/>
      <w:lvlJc w:val="left"/>
    </w:lvl>
    <w:lvl w:ilvl="2" w:tplc="3C448CDA">
      <w:numFmt w:val="decimal"/>
      <w:lvlText w:val=""/>
      <w:lvlJc w:val="left"/>
    </w:lvl>
    <w:lvl w:ilvl="3" w:tplc="0B32EFBE">
      <w:numFmt w:val="decimal"/>
      <w:lvlText w:val=""/>
      <w:lvlJc w:val="left"/>
    </w:lvl>
    <w:lvl w:ilvl="4" w:tplc="06B2202C">
      <w:numFmt w:val="decimal"/>
      <w:lvlText w:val=""/>
      <w:lvlJc w:val="left"/>
    </w:lvl>
    <w:lvl w:ilvl="5" w:tplc="B90EE51E">
      <w:numFmt w:val="decimal"/>
      <w:lvlText w:val=""/>
      <w:lvlJc w:val="left"/>
    </w:lvl>
    <w:lvl w:ilvl="6" w:tplc="51E2A87C">
      <w:numFmt w:val="decimal"/>
      <w:lvlText w:val=""/>
      <w:lvlJc w:val="left"/>
    </w:lvl>
    <w:lvl w:ilvl="7" w:tplc="1332B776">
      <w:numFmt w:val="decimal"/>
      <w:lvlText w:val=""/>
      <w:lvlJc w:val="left"/>
    </w:lvl>
    <w:lvl w:ilvl="8" w:tplc="CAE6767A">
      <w:numFmt w:val="decimal"/>
      <w:lvlText w:val=""/>
      <w:lvlJc w:val="left"/>
    </w:lvl>
  </w:abstractNum>
  <w:abstractNum w:abstractNumId="3">
    <w:nsid w:val="309D2C25"/>
    <w:multiLevelType w:val="hybridMultilevel"/>
    <w:tmpl w:val="723E48FA"/>
    <w:lvl w:ilvl="0" w:tplc="2F0641BC">
      <w:start w:val="1"/>
      <w:numFmt w:val="decimal"/>
      <w:lvlText w:val="[%1]"/>
      <w:lvlJc w:val="left"/>
      <w:pPr>
        <w:ind w:left="680" w:hanging="453"/>
      </w:pPr>
    </w:lvl>
    <w:lvl w:ilvl="1" w:tplc="1F86A7CC">
      <w:numFmt w:val="decimal"/>
      <w:lvlText w:val=""/>
      <w:lvlJc w:val="left"/>
    </w:lvl>
    <w:lvl w:ilvl="2" w:tplc="EEB406F4">
      <w:numFmt w:val="decimal"/>
      <w:lvlText w:val=""/>
      <w:lvlJc w:val="left"/>
    </w:lvl>
    <w:lvl w:ilvl="3" w:tplc="06F64DE0">
      <w:numFmt w:val="decimal"/>
      <w:lvlText w:val=""/>
      <w:lvlJc w:val="left"/>
    </w:lvl>
    <w:lvl w:ilvl="4" w:tplc="EBA2597E">
      <w:numFmt w:val="decimal"/>
      <w:lvlText w:val=""/>
      <w:lvlJc w:val="left"/>
    </w:lvl>
    <w:lvl w:ilvl="5" w:tplc="8AD8E06A">
      <w:numFmt w:val="decimal"/>
      <w:lvlText w:val=""/>
      <w:lvlJc w:val="left"/>
    </w:lvl>
    <w:lvl w:ilvl="6" w:tplc="D8C4650C">
      <w:numFmt w:val="decimal"/>
      <w:lvlText w:val=""/>
      <w:lvlJc w:val="left"/>
    </w:lvl>
    <w:lvl w:ilvl="7" w:tplc="1A2EAB6C">
      <w:numFmt w:val="decimal"/>
      <w:lvlText w:val=""/>
      <w:lvlJc w:val="left"/>
    </w:lvl>
    <w:lvl w:ilvl="8" w:tplc="C0C4D616">
      <w:numFmt w:val="decimal"/>
      <w:lvlText w:val=""/>
      <w:lvlJc w:val="left"/>
    </w:lvl>
  </w:abstractNum>
  <w:abstractNum w:abstractNumId="4">
    <w:nsid w:val="408154F2"/>
    <w:multiLevelType w:val="hybridMultilevel"/>
    <w:tmpl w:val="FE5CC4B2"/>
    <w:lvl w:ilvl="0" w:tplc="77A45F5C">
      <w:start w:val="1"/>
      <w:numFmt w:val="decimal"/>
      <w:lvlText w:val="%1."/>
      <w:lvlJc w:val="left"/>
      <w:pPr>
        <w:ind w:left="566" w:hanging="283"/>
      </w:pPr>
    </w:lvl>
    <w:lvl w:ilvl="1" w:tplc="E0F498BC">
      <w:numFmt w:val="decimal"/>
      <w:lvlText w:val=""/>
      <w:lvlJc w:val="left"/>
    </w:lvl>
    <w:lvl w:ilvl="2" w:tplc="CF90870E">
      <w:numFmt w:val="decimal"/>
      <w:lvlText w:val=""/>
      <w:lvlJc w:val="left"/>
    </w:lvl>
    <w:lvl w:ilvl="3" w:tplc="89A0487A">
      <w:numFmt w:val="decimal"/>
      <w:lvlText w:val=""/>
      <w:lvlJc w:val="left"/>
    </w:lvl>
    <w:lvl w:ilvl="4" w:tplc="DFB0E540">
      <w:numFmt w:val="decimal"/>
      <w:lvlText w:val=""/>
      <w:lvlJc w:val="left"/>
    </w:lvl>
    <w:lvl w:ilvl="5" w:tplc="66204E9A">
      <w:numFmt w:val="decimal"/>
      <w:lvlText w:val=""/>
      <w:lvlJc w:val="left"/>
    </w:lvl>
    <w:lvl w:ilvl="6" w:tplc="0400D49A">
      <w:numFmt w:val="decimal"/>
      <w:lvlText w:val=""/>
      <w:lvlJc w:val="left"/>
    </w:lvl>
    <w:lvl w:ilvl="7" w:tplc="92E86FBA">
      <w:numFmt w:val="decimal"/>
      <w:lvlText w:val=""/>
      <w:lvlJc w:val="left"/>
    </w:lvl>
    <w:lvl w:ilvl="8" w:tplc="A17477CE">
      <w:numFmt w:val="decimal"/>
      <w:lvlText w:val=""/>
      <w:lvlJc w:val="left"/>
    </w:lvl>
  </w:abstractNum>
  <w:abstractNum w:abstractNumId="5">
    <w:nsid w:val="529B558B"/>
    <w:multiLevelType w:val="hybridMultilevel"/>
    <w:tmpl w:val="E8E8A948"/>
    <w:lvl w:ilvl="0" w:tplc="9AE48866">
      <w:start w:val="1"/>
      <w:numFmt w:val="decimal"/>
      <w:lvlText w:val="%1."/>
      <w:lvlJc w:val="left"/>
      <w:pPr>
        <w:ind w:left="566" w:hanging="283"/>
      </w:pPr>
    </w:lvl>
    <w:lvl w:ilvl="1" w:tplc="30348E58">
      <w:numFmt w:val="decimal"/>
      <w:lvlText w:val=""/>
      <w:lvlJc w:val="left"/>
    </w:lvl>
    <w:lvl w:ilvl="2" w:tplc="54024F56">
      <w:numFmt w:val="decimal"/>
      <w:lvlText w:val=""/>
      <w:lvlJc w:val="left"/>
    </w:lvl>
    <w:lvl w:ilvl="3" w:tplc="26C0DC60">
      <w:numFmt w:val="decimal"/>
      <w:lvlText w:val=""/>
      <w:lvlJc w:val="left"/>
    </w:lvl>
    <w:lvl w:ilvl="4" w:tplc="099042D6">
      <w:numFmt w:val="decimal"/>
      <w:lvlText w:val=""/>
      <w:lvlJc w:val="left"/>
    </w:lvl>
    <w:lvl w:ilvl="5" w:tplc="9572CAF2">
      <w:numFmt w:val="decimal"/>
      <w:lvlText w:val=""/>
      <w:lvlJc w:val="left"/>
    </w:lvl>
    <w:lvl w:ilvl="6" w:tplc="3AF67B82">
      <w:numFmt w:val="decimal"/>
      <w:lvlText w:val=""/>
      <w:lvlJc w:val="left"/>
    </w:lvl>
    <w:lvl w:ilvl="7" w:tplc="AF70DA6A">
      <w:numFmt w:val="decimal"/>
      <w:lvlText w:val=""/>
      <w:lvlJc w:val="left"/>
    </w:lvl>
    <w:lvl w:ilvl="8" w:tplc="CB24B0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A2A14"/>
    <w:rsid w:val="008B5696"/>
    <w:rsid w:val="00DA2A14"/>
    <w:rsid w:val="00ED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360" w:lineRule="auto"/>
    </w:p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pPr>
      <w:spacing w:before="60" w:after="120"/>
      <w:jc w:val="center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D35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3505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5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5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line="360" w:lineRule="auto"/>
    </w:p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pPr>
      <w:spacing w:before="60" w:after="120"/>
      <w:jc w:val="center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D35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3505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5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5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1951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82 – Kolorowanie wierzchołków trójkąta</dc:title>
  <dc:creator>Mateusz Zaniewski</dc:creator>
  <cp:lastModifiedBy>Mateusz Zaniewski</cp:lastModifiedBy>
  <cp:revision>2</cp:revision>
  <dcterms:created xsi:type="dcterms:W3CDTF">2026-05-29T19:30:00Z</dcterms:created>
  <dcterms:modified xsi:type="dcterms:W3CDTF">2026-06-02T14:52:00Z</dcterms:modified>
</cp:coreProperties>
</file>