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67204" w14:textId="77777777" w:rsidR="00242D9E" w:rsidRPr="00242D9E" w:rsidRDefault="00242D9E" w:rsidP="00242D9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  <w:lang w:eastAsia="ru-RU"/>
        </w:rPr>
      </w:pPr>
      <w:r w:rsidRPr="00242D9E">
        <w:rPr>
          <w:rFonts w:eastAsia="Times New Roman" w:cs="Times New Roman"/>
          <w:b/>
          <w:bCs/>
          <w:color w:val="auto"/>
          <w:kern w:val="36"/>
          <w:sz w:val="48"/>
          <w:szCs w:val="48"/>
          <w:lang w:eastAsia="ru-RU"/>
        </w:rPr>
        <w:t>Анализ источников данных</w:t>
      </w:r>
    </w:p>
    <w:p w14:paraId="18A0D02F" w14:textId="77777777" w:rsidR="00242D9E" w:rsidRPr="00242D9E" w:rsidRDefault="00242D9E" w:rsidP="00242D9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36"/>
          <w:sz w:val="40"/>
          <w:szCs w:val="40"/>
          <w:lang w:eastAsia="ru-RU"/>
        </w:rPr>
      </w:pPr>
      <w:r w:rsidRPr="00242D9E">
        <w:rPr>
          <w:rFonts w:eastAsia="Times New Roman" w:cs="Times New Roman"/>
          <w:b/>
          <w:bCs/>
          <w:color w:val="auto"/>
          <w:kern w:val="36"/>
          <w:sz w:val="40"/>
          <w:szCs w:val="40"/>
          <w:lang w:eastAsia="ru-RU"/>
        </w:rPr>
        <w:t>Обзор T-Invest API</w:t>
      </w:r>
    </w:p>
    <w:p w14:paraId="6C5F4E8C" w14:textId="77777777" w:rsidR="00242D9E" w:rsidRPr="00242D9E" w:rsidRDefault="00242D9E" w:rsidP="00242D9E">
      <w:pPr>
        <w:spacing w:before="100" w:beforeAutospacing="1" w:after="100" w:afterAutospacing="1" w:line="240" w:lineRule="auto"/>
        <w:jc w:val="both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>T-Invest API – публичный интерфейс для работы с инвестиционной платформой Т</w:t>
      </w: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noBreakHyphen/>
        <w:t>Банка. Он предоставляет доступ к котировкам, инструментам, операциям, заявкам, стриминговым данным и позволяет строить аналитические и торговые системы.</w:t>
      </w:r>
    </w:p>
    <w:p w14:paraId="1F5548E6" w14:textId="77777777" w:rsidR="00242D9E" w:rsidRPr="00242D9E" w:rsidRDefault="00242D9E" w:rsidP="00242D9E">
      <w:pPr>
        <w:numPr>
          <w:ilvl w:val="0"/>
          <w:numId w:val="2"/>
        </w:numPr>
        <w:spacing w:before="100" w:beforeAutospacing="1" w:after="100" w:afterAutospacing="1" w:line="240" w:lineRule="auto"/>
        <w:ind w:left="714" w:hanging="357"/>
        <w:outlineLvl w:val="2"/>
        <w:rPr>
          <w:rFonts w:eastAsia="Times New Roman" w:cs="Times New Roman"/>
          <w:b/>
          <w:bCs/>
          <w:color w:val="auto"/>
          <w:sz w:val="32"/>
          <w:szCs w:val="32"/>
          <w:lang w:eastAsia="ru-RU"/>
        </w:rPr>
      </w:pPr>
      <w:r w:rsidRPr="00242D9E">
        <w:rPr>
          <w:rFonts w:eastAsia="Times New Roman" w:cs="Times New Roman"/>
          <w:b/>
          <w:bCs/>
          <w:color w:val="auto"/>
          <w:sz w:val="32"/>
          <w:szCs w:val="32"/>
          <w:lang w:eastAsia="ru-RU"/>
        </w:rPr>
        <w:t>Общая характеристика API</w:t>
      </w:r>
    </w:p>
    <w:p w14:paraId="25DA52BC" w14:textId="77777777" w:rsidR="00242D9E" w:rsidRPr="00242D9E" w:rsidRDefault="00242D9E" w:rsidP="00242D9E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>Назначение API T</w:t>
      </w: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noBreakHyphen/>
        <w:t>Invest API предназначен для:</w:t>
      </w:r>
    </w:p>
    <w:p w14:paraId="43A4AC18" w14:textId="77777777" w:rsidR="00242D9E" w:rsidRPr="00242D9E" w:rsidRDefault="00242D9E" w:rsidP="00242D9E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>получения рыночных данных (исторические и стриминговые котировки);</w:t>
      </w:r>
    </w:p>
    <w:p w14:paraId="1F6AFE98" w14:textId="77777777" w:rsidR="00242D9E" w:rsidRPr="00242D9E" w:rsidRDefault="00242D9E" w:rsidP="00242D9E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>получения информации об инструментах (акции, облигации, валюты, ETF, фьючерсы);</w:t>
      </w:r>
    </w:p>
    <w:p w14:paraId="66B5D9F1" w14:textId="77777777" w:rsidR="00242D9E" w:rsidRPr="00242D9E" w:rsidRDefault="00242D9E" w:rsidP="00242D9E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>работы с портфелем (позиции, активы, доходность);</w:t>
      </w:r>
    </w:p>
    <w:p w14:paraId="6976F2C0" w14:textId="77777777" w:rsidR="00242D9E" w:rsidRPr="00242D9E" w:rsidRDefault="00242D9E" w:rsidP="00242D9E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>получения данных об операциях (покупки, продажи, комиссии);</w:t>
      </w:r>
    </w:p>
    <w:p w14:paraId="134BA7CA" w14:textId="77777777" w:rsidR="00242D9E" w:rsidRPr="00242D9E" w:rsidRDefault="00242D9E" w:rsidP="00242D9E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>выставления торговых поручений (лимитные, рыночные, стоп</w:t>
      </w: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noBreakHyphen/>
        <w:t>ордера);</w:t>
      </w:r>
    </w:p>
    <w:p w14:paraId="5870A368" w14:textId="77777777" w:rsidR="00242D9E" w:rsidRPr="00242D9E" w:rsidRDefault="00242D9E" w:rsidP="00242D9E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>тестирования стратегий в песочнице. Для данной работы важны рыночные данные и информация об инструментах, так как они используются для расчёта фактического отклонения от прогнозов аналитиков.</w:t>
      </w:r>
    </w:p>
    <w:p w14:paraId="7439C15E" w14:textId="212815ED" w:rsidR="00242D9E" w:rsidRPr="00242D9E" w:rsidRDefault="00242D9E" w:rsidP="00242D9E">
      <w:pPr>
        <w:numPr>
          <w:ilvl w:val="0"/>
          <w:numId w:val="2"/>
        </w:numPr>
        <w:spacing w:before="100" w:beforeAutospacing="1" w:after="100" w:afterAutospacing="1" w:line="240" w:lineRule="auto"/>
        <w:ind w:left="714" w:hanging="357"/>
        <w:outlineLvl w:val="2"/>
        <w:rPr>
          <w:rFonts w:eastAsia="Times New Roman" w:cs="Times New Roman"/>
          <w:b/>
          <w:bCs/>
          <w:color w:val="auto"/>
          <w:sz w:val="32"/>
          <w:szCs w:val="32"/>
          <w:lang w:eastAsia="ru-RU"/>
        </w:rPr>
      </w:pPr>
      <w:r w:rsidRPr="00242D9E">
        <w:rPr>
          <w:rFonts w:eastAsia="Times New Roman" w:cs="Times New Roman"/>
          <w:b/>
          <w:bCs/>
          <w:color w:val="auto"/>
          <w:sz w:val="32"/>
          <w:szCs w:val="32"/>
          <w:lang w:eastAsia="ru-RU"/>
        </w:rPr>
        <w:t>Архитектура API</w:t>
      </w:r>
    </w:p>
    <w:p w14:paraId="66BC2543" w14:textId="77777777" w:rsidR="00242D9E" w:rsidRPr="00242D9E" w:rsidRDefault="00242D9E" w:rsidP="00242D9E">
      <w:pPr>
        <w:spacing w:before="100" w:beforeAutospacing="1" w:after="100" w:afterAutospacing="1" w:line="240" w:lineRule="auto"/>
        <w:ind w:left="720"/>
        <w:jc w:val="both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>API состоит из набора сервисов, каждый из которых отвечает за определённый тип данных: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7384"/>
      </w:tblGrid>
      <w:tr w:rsidR="00242D9E" w:rsidRPr="00242D9E" w14:paraId="6D621020" w14:textId="77777777" w:rsidTr="00242D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E6DC1" w14:textId="77777777" w:rsidR="00242D9E" w:rsidRPr="00242D9E" w:rsidRDefault="00242D9E" w:rsidP="00242D9E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</w:rPr>
            </w:pPr>
            <w:r w:rsidRPr="00242D9E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</w:rPr>
              <w:t>Сервис</w:t>
            </w:r>
          </w:p>
        </w:tc>
        <w:tc>
          <w:tcPr>
            <w:tcW w:w="0" w:type="auto"/>
            <w:vAlign w:val="center"/>
            <w:hideMark/>
          </w:tcPr>
          <w:p w14:paraId="07F56CF8" w14:textId="77777777" w:rsidR="00242D9E" w:rsidRPr="00242D9E" w:rsidRDefault="00242D9E" w:rsidP="00242D9E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</w:rPr>
            </w:pPr>
            <w:r w:rsidRPr="00242D9E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</w:rPr>
              <w:t>Назначение</w:t>
            </w:r>
          </w:p>
        </w:tc>
      </w:tr>
      <w:tr w:rsidR="00242D9E" w:rsidRPr="00242D9E" w14:paraId="68D851E7" w14:textId="77777777" w:rsidTr="00242D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19801" w14:textId="77777777" w:rsidR="00242D9E" w:rsidRPr="00242D9E" w:rsidRDefault="00242D9E" w:rsidP="00242D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242D9E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InstrumentsService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14C48" w14:textId="32237605" w:rsidR="00242D9E" w:rsidRPr="00242D9E" w:rsidRDefault="00242D9E" w:rsidP="00242D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42D9E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Предоставляет информацию об инструментах (акции, облигации, фьючерсы</w:t>
            </w:r>
            <w:r w:rsidR="005000F8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и т.д.</w:t>
            </w:r>
            <w:r w:rsidRPr="00242D9E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)</w:t>
            </w:r>
          </w:p>
        </w:tc>
      </w:tr>
      <w:tr w:rsidR="00242D9E" w:rsidRPr="00242D9E" w14:paraId="1BD1940B" w14:textId="77777777" w:rsidTr="00242D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AEC66" w14:textId="77777777" w:rsidR="00242D9E" w:rsidRPr="00242D9E" w:rsidRDefault="00242D9E" w:rsidP="00242D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242D9E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MarketDataService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BEAF4" w14:textId="72423FA6" w:rsidR="00242D9E" w:rsidRPr="00242D9E" w:rsidRDefault="00242D9E" w:rsidP="00242D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42D9E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Предоставляет рыночные данные</w:t>
            </w:r>
          </w:p>
        </w:tc>
      </w:tr>
      <w:tr w:rsidR="00242D9E" w:rsidRPr="00242D9E" w14:paraId="671146F4" w14:textId="77777777" w:rsidTr="00242D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93825" w14:textId="77777777" w:rsidR="00242D9E" w:rsidRPr="00242D9E" w:rsidRDefault="00242D9E" w:rsidP="00242D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242D9E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OperationsService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BCE98" w14:textId="77777777" w:rsidR="00242D9E" w:rsidRPr="00242D9E" w:rsidRDefault="00242D9E" w:rsidP="00242D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42D9E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Информация об операциях (покупки, продажи, комиссии)</w:t>
            </w:r>
          </w:p>
        </w:tc>
      </w:tr>
      <w:tr w:rsidR="00242D9E" w:rsidRPr="00242D9E" w14:paraId="0E8424B8" w14:textId="77777777" w:rsidTr="00242D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BDF27" w14:textId="77777777" w:rsidR="00242D9E" w:rsidRPr="00242D9E" w:rsidRDefault="00242D9E" w:rsidP="00242D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242D9E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OrdersService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0C8CD9" w14:textId="77777777" w:rsidR="00242D9E" w:rsidRPr="00242D9E" w:rsidRDefault="00242D9E" w:rsidP="00242D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42D9E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Управление торговыми поручениями (лимитные, рыночные, стоп</w:t>
            </w:r>
            <w:r w:rsidRPr="00242D9E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noBreakHyphen/>
              <w:t>ордера)</w:t>
            </w:r>
          </w:p>
        </w:tc>
      </w:tr>
      <w:tr w:rsidR="00242D9E" w:rsidRPr="00242D9E" w14:paraId="1204F58D" w14:textId="77777777" w:rsidTr="00242D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1700C" w14:textId="77777777" w:rsidR="00242D9E" w:rsidRPr="00242D9E" w:rsidRDefault="00242D9E" w:rsidP="00242D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242D9E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SandboxService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B467F5" w14:textId="77777777" w:rsidR="00242D9E" w:rsidRPr="00242D9E" w:rsidRDefault="00242D9E" w:rsidP="00242D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42D9E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Тестирование стратегий в песочнице</w:t>
            </w:r>
          </w:p>
        </w:tc>
      </w:tr>
    </w:tbl>
    <w:p w14:paraId="634CEA01" w14:textId="77777777" w:rsidR="00242D9E" w:rsidRPr="00242D9E" w:rsidRDefault="00242D9E" w:rsidP="00242D9E">
      <w:pPr>
        <w:spacing w:before="100" w:beforeAutospacing="1" w:after="100" w:afterAutospacing="1" w:line="240" w:lineRule="auto"/>
        <w:jc w:val="both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 xml:space="preserve">Для данной работы важны </w:t>
      </w:r>
      <w:proofErr w:type="spellStart"/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>InstrumentsService</w:t>
      </w:r>
      <w:proofErr w:type="spellEnd"/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 xml:space="preserve"> и </w:t>
      </w:r>
      <w:proofErr w:type="spellStart"/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>MarketDataService</w:t>
      </w:r>
      <w:proofErr w:type="spellEnd"/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>, так как они обеспечивают данные для анализа отклонений прогнозов аналитиков от фактических цен.</w:t>
      </w:r>
    </w:p>
    <w:p w14:paraId="18BA02A8" w14:textId="77777777" w:rsidR="00242D9E" w:rsidRPr="00242D9E" w:rsidRDefault="00242D9E" w:rsidP="00242D9E">
      <w:pPr>
        <w:numPr>
          <w:ilvl w:val="0"/>
          <w:numId w:val="3"/>
        </w:numPr>
        <w:spacing w:before="100" w:beforeAutospacing="1" w:after="100" w:afterAutospacing="1" w:line="240" w:lineRule="auto"/>
        <w:ind w:left="714" w:hanging="357"/>
        <w:outlineLvl w:val="2"/>
        <w:rPr>
          <w:rFonts w:eastAsia="Times New Roman" w:cs="Times New Roman"/>
          <w:b/>
          <w:bCs/>
          <w:color w:val="auto"/>
          <w:sz w:val="32"/>
          <w:szCs w:val="32"/>
          <w:lang w:eastAsia="ru-RU"/>
        </w:rPr>
      </w:pPr>
      <w:r w:rsidRPr="00242D9E">
        <w:rPr>
          <w:rFonts w:eastAsia="Times New Roman" w:cs="Times New Roman"/>
          <w:b/>
          <w:bCs/>
          <w:color w:val="auto"/>
          <w:sz w:val="32"/>
          <w:szCs w:val="32"/>
          <w:lang w:eastAsia="ru-RU"/>
        </w:rPr>
        <w:t>Метрики</w:t>
      </w:r>
    </w:p>
    <w:p w14:paraId="330495CA" w14:textId="77777777" w:rsidR="00242D9E" w:rsidRPr="00242D9E" w:rsidRDefault="00242D9E" w:rsidP="00242D9E">
      <w:pPr>
        <w:spacing w:before="100" w:beforeAutospacing="1" w:after="100" w:afterAutospacing="1" w:line="240" w:lineRule="auto"/>
        <w:jc w:val="both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>В рамках анализа прогнозов аналитиков по ценам акций ключевое внимание уделяется следующим метрикам оценки точности прогнозов:</w:t>
      </w:r>
    </w:p>
    <w:p w14:paraId="51F3270C" w14:textId="28E034E9" w:rsidR="00242D9E" w:rsidRPr="00242D9E" w:rsidRDefault="00242D9E" w:rsidP="00242D9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 xml:space="preserve">Средняя абсолютная ошибка (MAE) </w:t>
      </w:r>
      <w:r w:rsidR="005841EF">
        <w:rPr>
          <w:rFonts w:eastAsia="Times New Roman" w:cs="Times New Roman"/>
          <w:color w:val="auto"/>
          <w:sz w:val="24"/>
          <w:szCs w:val="24"/>
          <w:lang w:eastAsia="ru-RU"/>
        </w:rPr>
        <w:t>–</w:t>
      </w: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 xml:space="preserve"> измеряет среднее абсолютное отклонение прогнозов от фактических значений.</w:t>
      </w:r>
    </w:p>
    <w:p w14:paraId="782DC7D4" w14:textId="1B9BCC56" w:rsidR="00242D9E" w:rsidRPr="00242D9E" w:rsidRDefault="00242D9E" w:rsidP="00242D9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 xml:space="preserve">Среднеквадратичная ошибка (RMSE) </w:t>
      </w:r>
      <w:r w:rsidR="005841EF">
        <w:rPr>
          <w:rFonts w:eastAsia="Times New Roman" w:cs="Times New Roman"/>
          <w:color w:val="auto"/>
          <w:sz w:val="24"/>
          <w:szCs w:val="24"/>
          <w:lang w:eastAsia="ru-RU"/>
        </w:rPr>
        <w:t>–</w:t>
      </w: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 xml:space="preserve"> учитывает квадратичные отклонения, более чувствительна к крупным ошибкам.</w:t>
      </w:r>
    </w:p>
    <w:p w14:paraId="0F58135E" w14:textId="17715CE1" w:rsidR="00242D9E" w:rsidRPr="00242D9E" w:rsidRDefault="00242D9E" w:rsidP="00242D9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lastRenderedPageBreak/>
        <w:t xml:space="preserve">Средняя абсолютная процентная ошибка (MAPE) </w:t>
      </w:r>
      <w:r w:rsidR="005841EF">
        <w:rPr>
          <w:rFonts w:eastAsia="Times New Roman" w:cs="Times New Roman"/>
          <w:color w:val="auto"/>
          <w:sz w:val="24"/>
          <w:szCs w:val="24"/>
          <w:lang w:eastAsia="ru-RU"/>
        </w:rPr>
        <w:t>–</w:t>
      </w: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 xml:space="preserve"> выражает ошибку в процентах, что удобно для сравнения разных инструментов.</w:t>
      </w:r>
    </w:p>
    <w:p w14:paraId="40EBC0A9" w14:textId="7290B4E5" w:rsidR="00242D9E" w:rsidRPr="00242D9E" w:rsidRDefault="00242D9E" w:rsidP="00242D9E">
      <w:pPr>
        <w:spacing w:before="100" w:beforeAutospacing="1" w:after="100" w:afterAutospacing="1" w:line="240" w:lineRule="auto"/>
        <w:jc w:val="both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>Инженерные решения включают автоматизацию сбора данных через API, построение конвейеров для обработки и трансформации данных, а также создание витрин данных для аналитической работы и визуализации.</w:t>
      </w:r>
    </w:p>
    <w:p w14:paraId="2F4AE01F" w14:textId="77777777" w:rsidR="00242D9E" w:rsidRPr="00242D9E" w:rsidRDefault="00242D9E" w:rsidP="00242D9E">
      <w:pPr>
        <w:spacing w:before="100" w:beforeAutospacing="1" w:after="100" w:afterAutospacing="1" w:line="240" w:lineRule="auto"/>
        <w:jc w:val="both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 xml:space="preserve">В качестве артефактов для </w:t>
      </w:r>
      <w:proofErr w:type="spellStart"/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>переиспользования</w:t>
      </w:r>
      <w:proofErr w:type="spellEnd"/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 xml:space="preserve"> рассматриваются сравнительные таблицы метрик, схемы архитектур систем, шаблоны </w:t>
      </w:r>
      <w:proofErr w:type="spellStart"/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>дашбордов</w:t>
      </w:r>
      <w:proofErr w:type="spellEnd"/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 xml:space="preserve"> и отчётов.</w:t>
      </w:r>
    </w:p>
    <w:p w14:paraId="6684DF19" w14:textId="77777777" w:rsidR="00242D9E" w:rsidRPr="00242D9E" w:rsidRDefault="00242D9E" w:rsidP="00242D9E">
      <w:pPr>
        <w:spacing w:before="100" w:beforeAutospacing="1" w:after="100" w:afterAutospacing="1" w:line="240" w:lineRule="auto"/>
        <w:jc w:val="both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 xml:space="preserve">Идеи оформления и подачи результатов включают визуализацию ошибок прогнозов с помощью графиков, интерактивные </w:t>
      </w:r>
      <w:proofErr w:type="spellStart"/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>дашборды</w:t>
      </w:r>
      <w:proofErr w:type="spellEnd"/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 xml:space="preserve"> с фильтрами и динамическими элементами, а также отчёты с возможностью глубокого анализа данных.</w:t>
      </w:r>
    </w:p>
    <w:p w14:paraId="126FBA1F" w14:textId="77777777" w:rsidR="00242D9E" w:rsidRPr="00242D9E" w:rsidRDefault="00242D9E" w:rsidP="00242D9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36"/>
          <w:sz w:val="40"/>
          <w:szCs w:val="40"/>
          <w:lang w:eastAsia="ru-RU"/>
        </w:rPr>
      </w:pPr>
      <w:r w:rsidRPr="00242D9E">
        <w:rPr>
          <w:rFonts w:eastAsia="Times New Roman" w:cs="Times New Roman"/>
          <w:b/>
          <w:bCs/>
          <w:color w:val="auto"/>
          <w:kern w:val="36"/>
          <w:sz w:val="40"/>
          <w:szCs w:val="40"/>
          <w:lang w:eastAsia="ru-RU"/>
        </w:rPr>
        <w:t>Обзор T-Trading</w:t>
      </w:r>
    </w:p>
    <w:p w14:paraId="6343EA49" w14:textId="7B608157" w:rsidR="00242D9E" w:rsidRPr="00242D9E" w:rsidRDefault="00242D9E" w:rsidP="00242D9E">
      <w:pPr>
        <w:spacing w:before="100" w:beforeAutospacing="1" w:after="100" w:afterAutospacing="1" w:line="240" w:lineRule="auto"/>
        <w:jc w:val="both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 xml:space="preserve">T-Trading </w:t>
      </w:r>
      <w:r w:rsidR="005841EF">
        <w:rPr>
          <w:rFonts w:eastAsia="Times New Roman" w:cs="Times New Roman"/>
          <w:color w:val="auto"/>
          <w:sz w:val="24"/>
          <w:szCs w:val="24"/>
          <w:lang w:eastAsia="ru-RU"/>
        </w:rPr>
        <w:t>–</w:t>
      </w: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 xml:space="preserve"> официальный канал и социальная платформа Т-Банка, предоставляющая ежедневные новостные публикации и прогнозы по техническому анализу акций и других финансовых инструментов. Платформа служит источником экспертных мнений и аналитических сигналов, которые могут быть использованы для построения моделей прогнозирования и оценки эффективности аналитиков.</w:t>
      </w:r>
    </w:p>
    <w:p w14:paraId="3F7FE71C" w14:textId="77777777" w:rsidR="00242D9E" w:rsidRPr="00242D9E" w:rsidRDefault="00242D9E" w:rsidP="00242D9E">
      <w:pPr>
        <w:numPr>
          <w:ilvl w:val="0"/>
          <w:numId w:val="5"/>
        </w:numPr>
        <w:spacing w:before="100" w:beforeAutospacing="1" w:after="100" w:afterAutospacing="1" w:line="240" w:lineRule="auto"/>
        <w:ind w:left="714" w:hanging="357"/>
        <w:outlineLvl w:val="2"/>
        <w:rPr>
          <w:rFonts w:eastAsia="Times New Roman" w:cs="Times New Roman"/>
          <w:b/>
          <w:bCs/>
          <w:color w:val="auto"/>
          <w:sz w:val="32"/>
          <w:szCs w:val="32"/>
          <w:lang w:eastAsia="ru-RU"/>
        </w:rPr>
      </w:pPr>
      <w:r w:rsidRPr="00242D9E">
        <w:rPr>
          <w:rFonts w:eastAsia="Times New Roman" w:cs="Times New Roman"/>
          <w:b/>
          <w:bCs/>
          <w:color w:val="auto"/>
          <w:sz w:val="32"/>
          <w:szCs w:val="32"/>
          <w:lang w:eastAsia="ru-RU"/>
        </w:rPr>
        <w:t>Характеристика и функционал T-Trading</w:t>
      </w:r>
    </w:p>
    <w:p w14:paraId="28D1E8ED" w14:textId="77777777" w:rsidR="00242D9E" w:rsidRPr="00242D9E" w:rsidRDefault="00242D9E" w:rsidP="00242D9E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>Публикация ежедневных прогнозов и аналитики по акциям и другим инструментам.</w:t>
      </w:r>
    </w:p>
    <w:p w14:paraId="17E19814" w14:textId="77777777" w:rsidR="00242D9E" w:rsidRPr="00242D9E" w:rsidRDefault="00242D9E" w:rsidP="00242D9E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>Использование технических индикаторов и паттернов для формирования прогнозов.</w:t>
      </w:r>
    </w:p>
    <w:p w14:paraId="7AAF8089" w14:textId="77777777" w:rsidR="00242D9E" w:rsidRPr="00242D9E" w:rsidRDefault="00242D9E" w:rsidP="00242D9E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>Возможность получения сигналов на покупку и продажу, а также рекомендаций по управлению рисками.</w:t>
      </w:r>
    </w:p>
    <w:p w14:paraId="39E303C7" w14:textId="77777777" w:rsidR="00242D9E" w:rsidRPr="00242D9E" w:rsidRDefault="00242D9E" w:rsidP="00242D9E">
      <w:pPr>
        <w:numPr>
          <w:ilvl w:val="0"/>
          <w:numId w:val="5"/>
        </w:numPr>
        <w:spacing w:before="100" w:beforeAutospacing="1" w:after="100" w:afterAutospacing="1" w:line="240" w:lineRule="auto"/>
        <w:ind w:left="714" w:hanging="357"/>
        <w:outlineLvl w:val="2"/>
        <w:rPr>
          <w:rFonts w:eastAsia="Times New Roman" w:cs="Times New Roman"/>
          <w:b/>
          <w:bCs/>
          <w:color w:val="auto"/>
          <w:sz w:val="32"/>
          <w:szCs w:val="32"/>
          <w:lang w:eastAsia="ru-RU"/>
        </w:rPr>
      </w:pPr>
      <w:r w:rsidRPr="00242D9E">
        <w:rPr>
          <w:rFonts w:eastAsia="Times New Roman" w:cs="Times New Roman"/>
          <w:b/>
          <w:bCs/>
          <w:color w:val="auto"/>
          <w:sz w:val="32"/>
          <w:szCs w:val="32"/>
          <w:lang w:eastAsia="ru-RU"/>
        </w:rPr>
        <w:t>Данные и форматы</w:t>
      </w:r>
    </w:p>
    <w:p w14:paraId="5514B472" w14:textId="77777777" w:rsidR="00242D9E" w:rsidRPr="00242D9E" w:rsidRDefault="00242D9E" w:rsidP="00242D9E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>Прогнозы представлены в виде текстовых публикаций, графиков и таблиц.</w:t>
      </w:r>
    </w:p>
    <w:p w14:paraId="165B5A60" w14:textId="77777777" w:rsidR="00242D9E" w:rsidRPr="00242D9E" w:rsidRDefault="00242D9E" w:rsidP="00242D9E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 xml:space="preserve">Данные доступны через веб-интерфейс и могут быть собраны с помощью </w:t>
      </w:r>
      <w:proofErr w:type="spellStart"/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>парсинга</w:t>
      </w:r>
      <w:proofErr w:type="spellEnd"/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 xml:space="preserve"> страниц.</w:t>
      </w:r>
    </w:p>
    <w:p w14:paraId="49A6CA00" w14:textId="77777777" w:rsidR="00242D9E" w:rsidRPr="00242D9E" w:rsidRDefault="00242D9E" w:rsidP="00242D9E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>Для анализа важно структурировать данные, выделяя ключевые параметры прогноза, дату публикации, инструмент и тип сигнала.</w:t>
      </w:r>
    </w:p>
    <w:p w14:paraId="1EA03386" w14:textId="77777777" w:rsidR="00242D9E" w:rsidRPr="00242D9E" w:rsidRDefault="00242D9E" w:rsidP="00242D9E">
      <w:pPr>
        <w:numPr>
          <w:ilvl w:val="0"/>
          <w:numId w:val="5"/>
        </w:numPr>
        <w:spacing w:before="100" w:beforeAutospacing="1" w:after="100" w:afterAutospacing="1" w:line="240" w:lineRule="auto"/>
        <w:ind w:left="714" w:hanging="357"/>
        <w:outlineLvl w:val="2"/>
        <w:rPr>
          <w:rFonts w:eastAsia="Times New Roman" w:cs="Times New Roman"/>
          <w:b/>
          <w:bCs/>
          <w:color w:val="auto"/>
          <w:sz w:val="32"/>
          <w:szCs w:val="32"/>
          <w:lang w:eastAsia="ru-RU"/>
        </w:rPr>
      </w:pPr>
      <w:r w:rsidRPr="00242D9E">
        <w:rPr>
          <w:rFonts w:eastAsia="Times New Roman" w:cs="Times New Roman"/>
          <w:b/>
          <w:bCs/>
          <w:color w:val="auto"/>
          <w:sz w:val="32"/>
          <w:szCs w:val="32"/>
          <w:lang w:eastAsia="ru-RU"/>
        </w:rPr>
        <w:t>Применение в анализе эффективности прогнозов</w:t>
      </w:r>
    </w:p>
    <w:p w14:paraId="02E56723" w14:textId="3817A5E0" w:rsidR="00242D9E" w:rsidRPr="00242D9E" w:rsidRDefault="00242D9E" w:rsidP="00242D9E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 xml:space="preserve">Прогнозы T-Trading </w:t>
      </w:r>
      <w:r w:rsidR="005841EF">
        <w:rPr>
          <w:rFonts w:eastAsia="Times New Roman" w:cs="Times New Roman"/>
          <w:color w:val="auto"/>
          <w:sz w:val="24"/>
          <w:szCs w:val="24"/>
          <w:lang w:eastAsia="ru-RU"/>
        </w:rPr>
        <w:t>с</w:t>
      </w: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>луж</w:t>
      </w:r>
      <w:r w:rsidR="005841EF">
        <w:rPr>
          <w:rFonts w:eastAsia="Times New Roman" w:cs="Times New Roman"/>
          <w:color w:val="auto"/>
          <w:sz w:val="24"/>
          <w:szCs w:val="24"/>
          <w:lang w:eastAsia="ru-RU"/>
        </w:rPr>
        <w:t>а</w:t>
      </w: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>т основой для сравнения с фактическими котировками, полученными через T-Invest API.</w:t>
      </w:r>
    </w:p>
    <w:p w14:paraId="35B259D2" w14:textId="77777777" w:rsidR="00242D9E" w:rsidRPr="00242D9E" w:rsidRDefault="00242D9E" w:rsidP="00242D9E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>Анализ отклонений прогнозов позволяет выявить точность и надежность аналитиков.</w:t>
      </w:r>
    </w:p>
    <w:p w14:paraId="162C984C" w14:textId="77777777" w:rsidR="00242D9E" w:rsidRPr="00242D9E" w:rsidRDefault="00242D9E" w:rsidP="00242D9E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>Использование исторических прогнозов для построения моделей машинного обучения и оценки их качества.</w:t>
      </w:r>
    </w:p>
    <w:p w14:paraId="49D67676" w14:textId="77777777" w:rsidR="00242D9E" w:rsidRDefault="00242D9E">
      <w:pPr>
        <w:rPr>
          <w:rFonts w:eastAsia="Times New Roman" w:cs="Times New Roman"/>
          <w:b/>
          <w:bCs/>
          <w:color w:val="auto"/>
          <w:kern w:val="36"/>
          <w:sz w:val="40"/>
          <w:szCs w:val="40"/>
          <w:lang w:eastAsia="ru-RU"/>
        </w:rPr>
      </w:pPr>
      <w:r>
        <w:rPr>
          <w:rFonts w:eastAsia="Times New Roman" w:cs="Times New Roman"/>
          <w:b/>
          <w:bCs/>
          <w:color w:val="auto"/>
          <w:kern w:val="36"/>
          <w:sz w:val="40"/>
          <w:szCs w:val="40"/>
          <w:lang w:eastAsia="ru-RU"/>
        </w:rPr>
        <w:br w:type="page"/>
      </w:r>
    </w:p>
    <w:p w14:paraId="47DB5F45" w14:textId="1E69545F" w:rsidR="00242D9E" w:rsidRPr="00242D9E" w:rsidRDefault="00242D9E" w:rsidP="00242D9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kern w:val="36"/>
          <w:sz w:val="40"/>
          <w:szCs w:val="40"/>
          <w:lang w:eastAsia="ru-RU"/>
        </w:rPr>
      </w:pPr>
      <w:r w:rsidRPr="00242D9E">
        <w:rPr>
          <w:rFonts w:eastAsia="Times New Roman" w:cs="Times New Roman"/>
          <w:b/>
          <w:bCs/>
          <w:color w:val="auto"/>
          <w:kern w:val="36"/>
          <w:sz w:val="40"/>
          <w:szCs w:val="40"/>
          <w:lang w:eastAsia="ru-RU"/>
        </w:rPr>
        <w:lastRenderedPageBreak/>
        <w:t>Обзор литературы и аналогов</w:t>
      </w:r>
    </w:p>
    <w:p w14:paraId="45E2B4BB" w14:textId="77777777" w:rsidR="00242D9E" w:rsidRPr="00242D9E" w:rsidRDefault="00242D9E" w:rsidP="00242D9E">
      <w:pPr>
        <w:spacing w:before="100" w:beforeAutospacing="1" w:after="100" w:afterAutospacing="1" w:line="240" w:lineRule="auto"/>
        <w:jc w:val="both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 xml:space="preserve">В области анализа эффективности прогнозов аналитиков существует широкий спектр исследований, охватывающих международные и российские работы. Основные направления включают оценку точности </w:t>
      </w:r>
      <w:proofErr w:type="spellStart"/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>таргет</w:t>
      </w:r>
      <w:proofErr w:type="spellEnd"/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>-прайсов</w:t>
      </w:r>
      <w:proofErr w:type="gramStart"/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>, ,</w:t>
      </w:r>
      <w:proofErr w:type="gramEnd"/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 xml:space="preserve"> а также изучение поведенческих и институциональных факторов, влияющих на качество прогнозов.</w:t>
      </w:r>
    </w:p>
    <w:p w14:paraId="253C3B88" w14:textId="77777777" w:rsidR="00242D9E" w:rsidRPr="00242D9E" w:rsidRDefault="00242D9E" w:rsidP="00242D9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32"/>
          <w:szCs w:val="32"/>
          <w:lang w:eastAsia="ru-RU"/>
        </w:rPr>
      </w:pPr>
      <w:r w:rsidRPr="00242D9E">
        <w:rPr>
          <w:rFonts w:eastAsia="Times New Roman" w:cs="Times New Roman"/>
          <w:b/>
          <w:bCs/>
          <w:color w:val="auto"/>
          <w:sz w:val="32"/>
          <w:szCs w:val="32"/>
          <w:lang w:eastAsia="ru-RU"/>
        </w:rPr>
        <w:t>Обзор прошлых исследований</w:t>
      </w:r>
    </w:p>
    <w:p w14:paraId="12C4A2D5" w14:textId="47DDF478" w:rsidR="00242D9E" w:rsidRPr="00242D9E" w:rsidRDefault="00242D9E" w:rsidP="00242D9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auto"/>
          <w:sz w:val="24"/>
          <w:szCs w:val="24"/>
          <w:lang w:eastAsia="ru-RU"/>
        </w:rPr>
      </w:pPr>
      <w:proofErr w:type="spellStart"/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>Bradshaw</w:t>
      </w:r>
      <w:proofErr w:type="spellEnd"/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 xml:space="preserve">, </w:t>
      </w:r>
      <w:proofErr w:type="spellStart"/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>Huang</w:t>
      </w:r>
      <w:proofErr w:type="spellEnd"/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 xml:space="preserve">, </w:t>
      </w:r>
      <w:proofErr w:type="spellStart"/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>Tan</w:t>
      </w:r>
      <w:proofErr w:type="spellEnd"/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 xml:space="preserve"> (2012, </w:t>
      </w:r>
      <w:proofErr w:type="spellStart"/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>ResearchGate</w:t>
      </w:r>
      <w:proofErr w:type="spellEnd"/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>)</w:t>
      </w: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 xml:space="preserve"> </w:t>
      </w:r>
      <w:r w:rsidR="005841EF">
        <w:rPr>
          <w:rFonts w:eastAsia="Times New Roman" w:cs="Times New Roman"/>
          <w:color w:val="auto"/>
          <w:sz w:val="24"/>
          <w:szCs w:val="24"/>
          <w:lang w:eastAsia="ru-RU"/>
        </w:rPr>
        <w:t>–</w:t>
      </w: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 xml:space="preserve"> Исследование точности </w:t>
      </w:r>
      <w:proofErr w:type="spellStart"/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>таргет</w:t>
      </w:r>
      <w:proofErr w:type="spellEnd"/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 xml:space="preserve">-прайсов в 41 стране. Авторы выявили значительное влияние экономических факторов на качество прогнозов. Результаты показали, что в странах с более развитыми экономическими факторами прогнозы аналитиков были более точными. </w:t>
      </w:r>
    </w:p>
    <w:p w14:paraId="1CA7715D" w14:textId="147E9DEA" w:rsidR="00242D9E" w:rsidRPr="00242D9E" w:rsidRDefault="00242D9E" w:rsidP="00242D9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auto"/>
          <w:sz w:val="24"/>
          <w:szCs w:val="24"/>
          <w:lang w:eastAsia="ru-RU"/>
        </w:rPr>
      </w:pPr>
      <w:proofErr w:type="spellStart"/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>Bonini</w:t>
      </w:r>
      <w:proofErr w:type="spellEnd"/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 xml:space="preserve">, </w:t>
      </w:r>
      <w:proofErr w:type="spellStart"/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>Capizzi</w:t>
      </w:r>
      <w:proofErr w:type="spellEnd"/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 xml:space="preserve">, </w:t>
      </w:r>
      <w:proofErr w:type="spellStart"/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>Kerl</w:t>
      </w:r>
      <w:proofErr w:type="spellEnd"/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 xml:space="preserve"> (2022, </w:t>
      </w:r>
      <w:proofErr w:type="spellStart"/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>ResearchGate</w:t>
      </w:r>
      <w:proofErr w:type="spellEnd"/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>)</w:t>
      </w: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 xml:space="preserve"> </w:t>
      </w:r>
      <w:r w:rsidR="005841EF">
        <w:rPr>
          <w:rFonts w:eastAsia="Times New Roman" w:cs="Times New Roman"/>
          <w:color w:val="auto"/>
          <w:sz w:val="24"/>
          <w:szCs w:val="24"/>
          <w:lang w:eastAsia="ru-RU"/>
        </w:rPr>
        <w:t>–</w:t>
      </w: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 xml:space="preserve"> Анализ субъективных корректировок аналитиков и их влияния на точность прогнозов. Работа показала, что субъективные оценки аналитиков могут как улучшать, так и ухудшать точность прогнозов в зависимости от контекста и опыта аналитика. </w:t>
      </w:r>
    </w:p>
    <w:p w14:paraId="5EB4C829" w14:textId="2E1C1306" w:rsidR="00242D9E" w:rsidRPr="00242D9E" w:rsidRDefault="00242D9E" w:rsidP="00242D9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auto"/>
          <w:sz w:val="24"/>
          <w:szCs w:val="24"/>
          <w:lang w:eastAsia="ru-RU"/>
        </w:rPr>
      </w:pPr>
      <w:proofErr w:type="spellStart"/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>Demirakos</w:t>
      </w:r>
      <w:proofErr w:type="spellEnd"/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 xml:space="preserve">, </w:t>
      </w:r>
      <w:proofErr w:type="spellStart"/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>Strong</w:t>
      </w:r>
      <w:proofErr w:type="spellEnd"/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 xml:space="preserve">, Walker (2009, </w:t>
      </w:r>
      <w:proofErr w:type="spellStart"/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>ResearchGate</w:t>
      </w:r>
      <w:proofErr w:type="spellEnd"/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>)</w:t>
      </w: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 xml:space="preserve"> </w:t>
      </w:r>
      <w:r w:rsidR="005841EF">
        <w:rPr>
          <w:rFonts w:eastAsia="Times New Roman" w:cs="Times New Roman"/>
          <w:color w:val="auto"/>
          <w:sz w:val="24"/>
          <w:szCs w:val="24"/>
          <w:lang w:eastAsia="ru-RU"/>
        </w:rPr>
        <w:t>–</w:t>
      </w: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 xml:space="preserve"> Сравнение различных моделей оценки, включая дисконтирование денежных потоков (DCF) и мультипликаторы, и их влияние на точность </w:t>
      </w:r>
      <w:proofErr w:type="spellStart"/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>таргет</w:t>
      </w:r>
      <w:proofErr w:type="spellEnd"/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 xml:space="preserve">-прайсов. Исследование выявило, что выбор модели существенно влияет на качество прогнозов. </w:t>
      </w:r>
    </w:p>
    <w:p w14:paraId="586FC2C1" w14:textId="5B41EE04" w:rsidR="00242D9E" w:rsidRPr="00242D9E" w:rsidRDefault="00242D9E" w:rsidP="00242D9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auto"/>
          <w:sz w:val="24"/>
          <w:szCs w:val="24"/>
          <w:lang w:eastAsia="ru-RU"/>
        </w:rPr>
      </w:pPr>
      <w:proofErr w:type="spellStart"/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>Kerl</w:t>
      </w:r>
      <w:proofErr w:type="spellEnd"/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 xml:space="preserve">, Alexander </w:t>
      </w:r>
      <w:proofErr w:type="spellStart"/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>Gabriel</w:t>
      </w:r>
      <w:proofErr w:type="spellEnd"/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 xml:space="preserve">, Target Price </w:t>
      </w:r>
      <w:proofErr w:type="spellStart"/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>Accuracy</w:t>
      </w:r>
      <w:proofErr w:type="spellEnd"/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 xml:space="preserve"> (2011, Google</w:t>
      </w: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>Scholar</w:t>
      </w:r>
      <w:proofErr w:type="spellEnd"/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>)</w:t>
      </w: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 xml:space="preserve"> </w:t>
      </w:r>
      <w:r w:rsidR="005841EF">
        <w:rPr>
          <w:rFonts w:eastAsia="Times New Roman" w:cs="Times New Roman"/>
          <w:color w:val="auto"/>
          <w:sz w:val="24"/>
          <w:szCs w:val="24"/>
          <w:lang w:eastAsia="ru-RU"/>
        </w:rPr>
        <w:t>–</w:t>
      </w: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 xml:space="preserve"> Эмпирический анализ факторов, влияющих на точность прогнозов, таких как оптимизм аналитиков, волатильность рынка и репутация брокера. Результаты показали, что оптимизм часто приводит к систематическому завышению прогнозов. </w:t>
      </w:r>
    </w:p>
    <w:p w14:paraId="528F5B9A" w14:textId="0E130FC3" w:rsidR="00242D9E" w:rsidRPr="00242D9E" w:rsidRDefault="00242D9E" w:rsidP="00242D9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 xml:space="preserve">Абрамова Р.С., Качанов К.Н. (2024, </w:t>
      </w:r>
      <w:proofErr w:type="spellStart"/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>КиберЛенинка</w:t>
      </w:r>
      <w:proofErr w:type="spellEnd"/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>)</w:t>
      </w: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 xml:space="preserve"> </w:t>
      </w:r>
      <w:r w:rsidR="005841EF">
        <w:rPr>
          <w:rFonts w:eastAsia="Times New Roman" w:cs="Times New Roman"/>
          <w:color w:val="auto"/>
          <w:sz w:val="24"/>
          <w:szCs w:val="24"/>
          <w:lang w:eastAsia="ru-RU"/>
        </w:rPr>
        <w:t>–</w:t>
      </w: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 xml:space="preserve"> Анализ точности прогнозов аналитиков на российском рынке и их влияние на доверие инвесторов. Исследование выявило корреляцию между точностью прогнозов и уровнем доверия к аналитикам. </w:t>
      </w:r>
    </w:p>
    <w:p w14:paraId="60B9F597" w14:textId="7C887DCE" w:rsidR="00242D9E" w:rsidRPr="00242D9E" w:rsidRDefault="00242D9E" w:rsidP="00242D9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 xml:space="preserve">Иванов А.В., Петров С.М. (2021, </w:t>
      </w:r>
      <w:proofErr w:type="spellStart"/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>КиберЛенинка</w:t>
      </w:r>
      <w:proofErr w:type="spellEnd"/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>)</w:t>
      </w: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 xml:space="preserve"> </w:t>
      </w:r>
      <w:r w:rsidR="005841EF">
        <w:rPr>
          <w:rFonts w:eastAsia="Times New Roman" w:cs="Times New Roman"/>
          <w:color w:val="auto"/>
          <w:sz w:val="24"/>
          <w:szCs w:val="24"/>
          <w:lang w:eastAsia="ru-RU"/>
        </w:rPr>
        <w:t>–</w:t>
      </w: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 xml:space="preserve"> Исследование влияния макроэкономических факторов на точность прогнозов аналитиков в России. Результаты показали значимость учета внешних факторов для повышения качества прогнозов.</w:t>
      </w:r>
    </w:p>
    <w:p w14:paraId="590F891B" w14:textId="5D4960A9" w:rsidR="00242D9E" w:rsidRPr="00242D9E" w:rsidRDefault="00242D9E" w:rsidP="00242D9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 xml:space="preserve">Сидорова Е.Н. (2019, </w:t>
      </w:r>
      <w:proofErr w:type="spellStart"/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>КиберЛенинка</w:t>
      </w:r>
      <w:proofErr w:type="spellEnd"/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>)</w:t>
      </w: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 xml:space="preserve"> </w:t>
      </w:r>
      <w:r w:rsidR="005841EF">
        <w:rPr>
          <w:rFonts w:eastAsia="Times New Roman" w:cs="Times New Roman"/>
          <w:color w:val="auto"/>
          <w:sz w:val="24"/>
          <w:szCs w:val="24"/>
          <w:lang w:eastAsia="ru-RU"/>
        </w:rPr>
        <w:t>–</w:t>
      </w: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 xml:space="preserve"> Анализ методик оценки прогнозов на российском фондовом рынке с акцентом на поведенческие аспекты аналитиков. Работа выявила влияние когнитивных искажений на точность прогнозов.</w:t>
      </w:r>
    </w:p>
    <w:p w14:paraId="440BB630" w14:textId="30D5FDAA" w:rsidR="00242D9E" w:rsidRPr="00242D9E" w:rsidRDefault="00242D9E" w:rsidP="00242D9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 xml:space="preserve">Кузнецова М.В., Лебедев Д.А. (2020, </w:t>
      </w:r>
      <w:proofErr w:type="spellStart"/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>КиберЛенинка</w:t>
      </w:r>
      <w:proofErr w:type="spellEnd"/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>)</w:t>
      </w: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 xml:space="preserve"> </w:t>
      </w:r>
      <w:r w:rsidR="005841EF">
        <w:rPr>
          <w:rFonts w:eastAsia="Times New Roman" w:cs="Times New Roman"/>
          <w:color w:val="auto"/>
          <w:sz w:val="24"/>
          <w:szCs w:val="24"/>
          <w:lang w:eastAsia="ru-RU"/>
        </w:rPr>
        <w:t>–</w:t>
      </w: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 xml:space="preserve"> Сравнительный анализ моделей прогнозирования цен акций на российском рынке с использованием машинного обучения. Исследование показало преимущества гибридных моделей.</w:t>
      </w:r>
    </w:p>
    <w:p w14:paraId="10592010" w14:textId="3BEA10E3" w:rsidR="00242D9E" w:rsidRPr="00242D9E" w:rsidRDefault="00242D9E" w:rsidP="00242D9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 xml:space="preserve">Федоров И.П. (2018, </w:t>
      </w:r>
      <w:proofErr w:type="spellStart"/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>КиберЛенинка</w:t>
      </w:r>
      <w:proofErr w:type="spellEnd"/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>)</w:t>
      </w: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 xml:space="preserve"> </w:t>
      </w:r>
      <w:r w:rsidR="005841EF">
        <w:rPr>
          <w:rFonts w:eastAsia="Times New Roman" w:cs="Times New Roman"/>
          <w:color w:val="auto"/>
          <w:sz w:val="24"/>
          <w:szCs w:val="24"/>
          <w:lang w:eastAsia="ru-RU"/>
        </w:rPr>
        <w:t>–</w:t>
      </w: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 xml:space="preserve"> Оценка влияния информационной прозрачности компаний на точность прогнозов аналитиков. Результаты подтвердили, что высокая прозрачность способствует улучшению качества прогнозов.</w:t>
      </w:r>
    </w:p>
    <w:p w14:paraId="462FCA5F" w14:textId="3A16C796" w:rsidR="00242D9E" w:rsidRPr="00242D9E" w:rsidRDefault="00242D9E" w:rsidP="00242D9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 xml:space="preserve">Новиков В.В., Смирнова Т.А. (2022, </w:t>
      </w:r>
      <w:proofErr w:type="spellStart"/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>КиберЛенинка</w:t>
      </w:r>
      <w:proofErr w:type="spellEnd"/>
      <w:r w:rsidRPr="00242D9E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>)</w:t>
      </w: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 xml:space="preserve"> </w:t>
      </w:r>
      <w:r w:rsidR="005841EF">
        <w:rPr>
          <w:rFonts w:eastAsia="Times New Roman" w:cs="Times New Roman"/>
          <w:color w:val="auto"/>
          <w:sz w:val="24"/>
          <w:szCs w:val="24"/>
          <w:lang w:eastAsia="ru-RU"/>
        </w:rPr>
        <w:t>–</w:t>
      </w:r>
      <w:r w:rsidRPr="00242D9E">
        <w:rPr>
          <w:rFonts w:eastAsia="Times New Roman" w:cs="Times New Roman"/>
          <w:color w:val="auto"/>
          <w:sz w:val="24"/>
          <w:szCs w:val="24"/>
          <w:lang w:eastAsia="ru-RU"/>
        </w:rPr>
        <w:t xml:space="preserve"> Исследование динамики доверия инвесторов к аналитикам в зависимости от точности их прогнозов на российском рынке. Работа выявила тенденции изменения доверия во времени.</w:t>
      </w:r>
    </w:p>
    <w:sectPr w:rsidR="00242D9E" w:rsidRPr="00242D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F81471"/>
    <w:multiLevelType w:val="multilevel"/>
    <w:tmpl w:val="E8F456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9E3903"/>
    <w:multiLevelType w:val="multilevel"/>
    <w:tmpl w:val="CBB4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FF60A3"/>
    <w:multiLevelType w:val="hybridMultilevel"/>
    <w:tmpl w:val="4E9E83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CC2481"/>
    <w:multiLevelType w:val="multilevel"/>
    <w:tmpl w:val="3C28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712834"/>
    <w:multiLevelType w:val="multilevel"/>
    <w:tmpl w:val="1BCA6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EB2A45"/>
    <w:multiLevelType w:val="multilevel"/>
    <w:tmpl w:val="B1EC2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442"/>
    <w:rsid w:val="00015442"/>
    <w:rsid w:val="0015182F"/>
    <w:rsid w:val="00212E97"/>
    <w:rsid w:val="00242D9E"/>
    <w:rsid w:val="00381A0A"/>
    <w:rsid w:val="005000F8"/>
    <w:rsid w:val="005841EF"/>
    <w:rsid w:val="005B015E"/>
    <w:rsid w:val="00653CCC"/>
    <w:rsid w:val="00C16863"/>
    <w:rsid w:val="00C16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84199"/>
  <w15:chartTrackingRefBased/>
  <w15:docId w15:val="{269A7329-EBF1-4C6E-98D8-70415DD9E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Arial"/>
        <w:color w:val="000000"/>
        <w:sz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42D9E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color w:val="auto"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42D9E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color w:val="auto"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3CCC"/>
    <w:pPr>
      <w:ind w:left="720"/>
      <w:contextualSpacing/>
    </w:pPr>
  </w:style>
  <w:style w:type="table" w:styleId="a4">
    <w:name w:val="Table Grid"/>
    <w:basedOn w:val="a1"/>
    <w:uiPriority w:val="39"/>
    <w:rsid w:val="00C16B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C16B09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242D9E"/>
    <w:rPr>
      <w:rFonts w:eastAsia="Times New Roman" w:cs="Times New Roman"/>
      <w:b/>
      <w:bCs/>
      <w:color w:val="auto"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42D9E"/>
    <w:rPr>
      <w:rFonts w:eastAsia="Times New Roman" w:cs="Times New Roman"/>
      <w:b/>
      <w:bCs/>
      <w:color w:val="auto"/>
      <w:sz w:val="36"/>
      <w:szCs w:val="36"/>
      <w:lang w:eastAsia="ru-RU"/>
    </w:rPr>
  </w:style>
  <w:style w:type="paragraph" w:styleId="a6">
    <w:name w:val="Normal (Web)"/>
    <w:basedOn w:val="a"/>
    <w:uiPriority w:val="99"/>
    <w:semiHidden/>
    <w:unhideWhenUsed/>
    <w:rsid w:val="00242D9E"/>
    <w:pPr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83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98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3</Pages>
  <Words>992</Words>
  <Characters>5655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Комаров</dc:creator>
  <cp:keywords/>
  <dc:description/>
  <cp:lastModifiedBy>Артём Комаров</cp:lastModifiedBy>
  <cp:revision>2</cp:revision>
  <dcterms:created xsi:type="dcterms:W3CDTF">2026-01-24T19:36:00Z</dcterms:created>
  <dcterms:modified xsi:type="dcterms:W3CDTF">2026-01-24T23:27:00Z</dcterms:modified>
</cp:coreProperties>
</file>