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06C47"/>
          <w:sz w:val="36"/>
          <w:szCs w:val="36"/>
        </w:rPr>
        <w:t xml:space="preserve">MANUAL DE DESARROLLO, ARQUITECTURA DE SOFTWARE Y ESTÁNDARES DE CÓDIGO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Plataforma FusaShop — Guía Integral de Ingeniería para Desarrolladores Backend, Frontend y Colaboradores del Repositorio</w:t>
      </w:r>
    </w:p>
    <w:tbl>
      <w:tblPr>
        <w:tblW w:type="pct" w:w="5000"/>
        <w:tblBorders>
          <w:top w:val="none"/>
          <w:left w:val="single" w:color="006C47" w:sz="24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026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C47"/>
                <w:sz w:val="20"/>
                <w:szCs w:val="20"/>
              </w:rPr>
              <w:t xml:space="preserve">Ficha Técnica de Desarrollo: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Versión 2.4.0 | Código: DOC-DEV-ENG-2026-V3 | Fecha: Octubre de 2026 | Área: Ingeniería de Software y Arquitectura de TI — Universidad de Cundinamarca | Audiencia: Ingenieros de Software, Desarrolladores Full-Stack, Backend, Frontend y Contribuidores.</w:t>
            </w:r>
          </w:p>
        </w:tc>
      </w:tr>
    </w:tbl>
    <w:p>
      <w:pP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6C47"/>
          <w:sz w:val="28"/>
          <w:szCs w:val="28"/>
        </w:rPr>
        <w:t xml:space="preserve">Tabla de Contenido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06C47"/>
          <w:sz w:val="22"/>
          <w:szCs w:val="22"/>
        </w:rPr>
        <w:t xml:space="preserve">1. Stack Tecnológico y Justificación Arquitectónica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1.1. Ecosistema Tecnológico Principal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1.2. Justificación Técnica: Patrones de Diseño, Mantenibilidad y Eficiencia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06C47"/>
          <w:sz w:val="22"/>
          <w:szCs w:val="22"/>
        </w:rPr>
        <w:t xml:space="preserve">2. Configuración del Entorno de Desarrollo Local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2.1. Prerrequisitos del Sistema y Herramientas del Desarrollador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2.2. Secuencia de Inicialización Paso a Paso en Terminal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2.3. Ejecución de Pruebas Automatizadas y Calidad de Código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06C47"/>
          <w:sz w:val="22"/>
          <w:szCs w:val="22"/>
        </w:rPr>
        <w:t xml:space="preserve">3. Topología del Repositorio y Arquitectura de Módulos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3.1. Estructura de Directorios Anotada del Proyecto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3.2. Responsabilidad de Componentes Arquitectónicos (MVC + Service Layer)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06C47"/>
          <w:sz w:val="22"/>
          <w:szCs w:val="22"/>
        </w:rPr>
        <w:t xml:space="preserve">4. Modelado de Datos, Persistencia y Convenciones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4.1. Diagrama Entidad-Relación Integral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4.2. Convenciones de Nomenclatura, Claves Foráneas e Integridad Referencial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4.3. Estrategia de Migraciones y Semillas de Datos (Seeders)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06C47"/>
          <w:sz w:val="22"/>
          <w:szCs w:val="22"/>
        </w:rPr>
        <w:t xml:space="preserve">5. Lógica de Negocio y Flujo de Control Transaccional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5.1. Flujo de Control: Procesamiento de Órdenes y Pasarela Wompi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5.2. Capa de Seguridad HTTP: Middlewares de Acceso y Control por Roles (RBAC)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5.3. Validación Declarativa mediante Clases FormRequest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06C47"/>
          <w:sz w:val="22"/>
          <w:szCs w:val="22"/>
        </w:rPr>
        <w:t xml:space="preserve">6. Estándares de Contribución y Flujo de Trabajo en Git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6.1. Modelo de Ramas (Git Branching Workflow)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6.2. Convenciones de Commits Semánticos (Conventional Commits)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6.3. Guía de Estilos de Código (PSR-12 y Tailwind CSS)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   6.4. Versionamiento Semántico (SemVer) y Gestión del Changelog</w:t>
      </w:r>
    </w:p>
    <w:p>
      <w:pPr>
        <w:spacing w:after="10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6C47"/>
          <w:sz w:val="28"/>
          <w:szCs w:val="28"/>
        </w:rPr>
        <w:t xml:space="preserve">1. Stack Tecnológico y Justificación Arquitectónica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1.1. Ecosistema Tecnológico Principal</w:t>
      </w:r>
    </w:p>
    <w:p>
      <w:pPr>
        <w:spacing w:after="100" w:before="6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FusaShop está construido bajo un enfoque monolítico modular y reactivo (Monolith First), combinando la robustez de un backend estructurado con la agilidad de interfaces desacopladas pero integradas en el servidor. La Tabla 1 sintetiza las capas y tecnologías adoptadas.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Tabla 1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0F172A"/>
          <w:sz w:val="22"/>
          <w:szCs w:val="22"/>
        </w:rPr>
        <w:t xml:space="preserve">Componentes del Stack Tecnológico Oficial de FusaShop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0F172A" w:sz="12"/>
              <w:left w:val="none"/>
              <w:bottom w:val="single" w:color="0F172A" w:sz="12"/>
              <w:right w:val="none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 / Dominio</w:t>
            </w:r>
          </w:p>
        </w:tc>
        <w:tc>
          <w:tcPr>
            <w:tcBorders>
              <w:top w:val="single" w:color="0F172A" w:sz="12"/>
              <w:left w:val="none"/>
              <w:bottom w:val="single" w:color="0F172A" w:sz="12"/>
              <w:right w:val="none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Borders>
              <w:top w:val="single" w:color="0F172A" w:sz="12"/>
              <w:left w:val="none"/>
              <w:bottom w:val="single" w:color="0F172A" w:sz="12"/>
              <w:right w:val="none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Borders>
              <w:top w:val="single" w:color="0F172A" w:sz="12"/>
              <w:left w:val="none"/>
              <w:bottom w:val="single" w:color="0F172A" w:sz="12"/>
              <w:right w:val="none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 Funcional en FusaShop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Backend Runtime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PHP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8.3 (NTS/ZTS)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Ejecución del núcleo del servidor con tipado estricto y optimizaciones JIT.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Framework Backend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Laravel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11.x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Arquitectura MVC, Service Container, ORM Eloquent y Kernel de eventos.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Frontend Styling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Tailwind CSS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3.4.x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Framework de utilidades CSS compilado para interfaces responsivas y livianas.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Frontend Reactivo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Alpine.js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3.17.x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Microframework reactivo declarativo embebido en el DOM para interactividad.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Motor de Plantillas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Blade Components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Nativo Laravel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Composición modular de componentes de interfaz y layouts reutilizables.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Empaquetador Web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Vite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5.x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Bundler de ultra-alta velocidad para Hot Module Replacement (HMR) y minificación.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Base de Datos SQL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MySQL / MariaDB / SQLite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8.0+ / 10.6+ / 3.35+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Persistencia relacional estructurada con integridad referencial ACID.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Pasarela de Pago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Wompi API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REST v1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Pasarela bancaria certificada PCI-DSS vinculada a Bancolombia / Nequi / PSE.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0F172A" w:sz="12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Inteligencia Local</w:t>
            </w:r>
          </w:p>
        </w:tc>
        <w:tc>
          <w:tcPr>
            <w:tcBorders>
              <w:top w:val="single" w:color="CBD5E1" w:sz="4"/>
              <w:left w:val="none"/>
              <w:bottom w:val="single" w:color="0F172A" w:sz="12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FusaBot (Python / MCP)</w:t>
            </w:r>
          </w:p>
        </w:tc>
        <w:tc>
          <w:tcPr>
            <w:tcBorders>
              <w:top w:val="single" w:color="CBD5E1" w:sz="4"/>
              <w:left w:val="none"/>
              <w:bottom w:val="single" w:color="0F172A" w:sz="12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3.11+</w:t>
            </w:r>
          </w:p>
        </w:tc>
        <w:tc>
          <w:tcPr>
            <w:tcBorders>
              <w:top w:val="single" w:color="CBD5E1" w:sz="4"/>
              <w:left w:val="none"/>
              <w:bottom w:val="single" w:color="0F172A" w:sz="12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Microservicios de analítica predictiva y asistente semántico de búsqueda.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b/>
          <w:bCs/>
          <w:i/>
          <w:iCs/>
          <w:color w:val="64748B"/>
          <w:sz w:val="18"/>
          <w:szCs w:val="18"/>
        </w:rPr>
        <w:t xml:space="preserve">Nota.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El stack prioriza la autosuficiencia en servidores locales y hosting compartidos sin requerir microservicios pesados de node externos.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1.2. Justificación Técnica: Patrones de Diseño, Mantenibilidad y Eficiencia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Evitación de SPAs Pesadas: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 diferencia de arquitecturas basadas en React o Angular que trasladan cientos de kilobytes de JavaScript al cliente y perjudican el SEO y los tiempos de primera carga (FCP), FusaShop implementa el patrón TALL reducido (Tailwind + Alpine.js + Laravel Blade). Esto garantiza que el 90% del HTML se renderice en el servidor con tiempos de respuesta inferiores a 120 ms, permitiendo un funcionamiento óptimo en dispositivos móviles de gama media o baja conectados a redes móviles 3G/4G en Fusagasugá.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Capa de Servicios de Dominio (Service Layer Pattern):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Los controladores delegan la lógica de cálculo financiero, idempotencia de pasarelas y control de reservas a clases de servicio (OrderService, WompiService, InventoryService). Esto previene el antipatrón de Fat Controllers, permitiendo reutilizar la lógica transaccional tanto en peticiones HTTP web como en llamadas CLI de Artisan o Webhooks.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Encapsulamiento mediante Blade Components: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La interfaz se descompone en componentes atómicos (&lt;x-logo&gt;, &lt;x-product-card&gt;, &lt;x-button&gt;, &lt;x-navbar&gt;), facilitando modificaciones de marca e identidad visual en un único archivo sin propagar duplicación de código.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6C47"/>
          <w:sz w:val="28"/>
          <w:szCs w:val="28"/>
        </w:rPr>
        <w:t xml:space="preserve">2. Configuración del Entorno de Desarrollo Local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2.1. Prerrequisitos del Sistema y Herramientas del Desarrollador</w:t>
      </w:r>
    </w:p>
    <w:p>
      <w:pPr>
        <w:spacing w:after="100" w:before="6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 estación de trabajo requiere: Git 2.40+, PHP 8.2 o 8.3 CLI (con extensiones mbstring, xml, curl, sqlite3, pdo_mysql, gd, intl, bcmath), Composer 2.6+, Node.js v20+ / NPM 10+ y motor SQL (XAMPP, MySQL nativo o SQLite local).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2.2. Secuencia de Inicialización Paso a Paso en Terminal</w:t>
      </w:r>
    </w:p>
    <w:tbl>
      <w:tblPr>
        <w:tblW w:type="pct" w:w="5000"/>
        <w:tblBorders>
          <w:top w:val="none"/>
          <w:left w:val="single" w:color="006C47" w:sz="24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026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6C47"/>
                <w:sz w:val="20"/>
                <w:szCs w:val="20"/>
              </w:rPr>
              <w:t xml:space="preserve">Secuencia de Inicialización en Terminal: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 clone https://github.com/Zantival/fusashop2.git
cd fusashop2
cp .env.example .env
composer install
php artisan key:generate
npm install &amp;&amp; npm run build
php artisan storage:link
touch database/database.sqlite
php artisan migrate --seed
php artisan serve</w:t>
            </w:r>
          </w:p>
        </w:tc>
      </w:tr>
    </w:tbl>
    <w:p>
      <w:pPr>
        <w:spacing w:after="100" w:before="6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servidor web de desarrollo quedará escuchando en http://127.0.0.1:8000. Para desarrollo interactivo con recarga en caliente de estilos y scripts, ejecute en una segunda terminal 'npm run dev'.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2.3. Ejecución de Pruebas Automatizadas y Calidad de Código</w:t>
      </w:r>
    </w:p>
    <w:tbl>
      <w:tblPr>
        <w:tblW w:type="pct" w:w="5000"/>
        <w:tblBorders>
          <w:top w:val="none"/>
          <w:left w:val="single" w:color="10B981" w:sz="24"/>
          <w:bottom w:val="none"/>
          <w:right w:val="none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026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Comandos de Verificación y Testing: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php artisan test
php artisan test --filter=OrderProcessingTest
./vendor/bin/pint --test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6C47"/>
          <w:sz w:val="28"/>
          <w:szCs w:val="28"/>
        </w:rPr>
        <w:t xml:space="preserve">3. Topología del Repositorio y Arquitectura de Módulos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3.1. Estructura de Directorios Anotada del Proyecto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app/Http/Controllers: Controladores desacoplados por dominio de actor (Auth, Consumer, Merchant, Analyst) y controladores de pasarela (WompiSandboxController).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app/Http/Middleware: Filtros perimetrales de seguridad (CheckRole, EnsureKycApproved).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app/Http/Requests: Clases FormRequest que encapsulan reglas de validación y autorización previa.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app/Models: Modelos de datos Eloquent (User, CompanyProfile, Product, Order, OrderItem, Cart, CartItem, PaymentTransaction, Review, Coupon, Reservation, PQRS).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app/Services: Clases de lógica pura de dominio (WompiService, OrderService, InventoryService).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database/migrations: Definición cronológica de tablas y restricciones referenciales.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database/seeders: Generación de datos de muestra para comercios, productos y usuarios de prueba.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resources/views: Plantillas Blade organizadas por layout y componentes atómicos reutilizables.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routes/web.php &amp; routes/api.php: Declaración de rutas web y endpoints de webhooks.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3.2. Responsabilidad de Componentes Arquitectónicos (MVC + Service Layer)</w:t>
      </w:r>
    </w:p>
    <w:p>
      <w:pPr>
        <w:spacing w:after="100" w:before="6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flujo de ejecución sigue una separación rigurosa: la petición HTTP arriba a las Rutas, es filtrada por los Middlewares, validada por un FormRequest, recibida por el Controlador, delegada al Service Layer para mutación de datos con Eloquent, y retornada a la Vista Blade compuesta por Componentes atómicos.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6C47"/>
          <w:sz w:val="28"/>
          <w:szCs w:val="28"/>
        </w:rPr>
        <w:t xml:space="preserve">4. Modelado de Datos, Persistencia y Convenciones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4.1. Diagrama Entidad-Relación Integral</w:t>
      </w:r>
    </w:p>
    <w:p>
      <w:pPr>
        <w:spacing w:after="100" w:before="6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esquema relacional de FusaShop modela 12 entidades cardinales interconectadas: USERS (entidad central de identidad), COMPANY_PROFILES (perfil comercial y KYC, relación 1:0..1), SHIPPING_ADDRESSES (direcciones de entrega, 1:N), PRODUCTS (catálogo publicado por comercios, 1:N), CARTS y CART_ITEMS (persistencia de cesta de compra), ORDERS y ORDER_ITEMS (formalización transaccional con snapshot de precios), PAYMENT_TRANSACTIONS (recaudos bancarios inmutables de Wompi), REVIEWS (calificaciones post-venta 1:N), COUPONS (descuentos promocionales), RESERVATIONS (apartados de servicios) y P_Q_R_S (gestión legal de peticiones ciudadanas).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4.2. Convenciones de Nomenclatura, Claves Foráneas e Integridad Referencial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Modelos en PascalCase singular (Product), tablas en minúsculas plural snake_case (products).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Claves foráneas en singular concatenadas con _id (merchant_id, user_id, order_id), con restricción foreignId() a nivel de motor SQL.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Manejo de dinero y tarifas bajo tipo DECIMAL(12,2) para evitar errores de redondeo de punto flotante.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4.3. Estrategia de Migraciones y Semillas de Datos (Seeders)</w:t>
      </w:r>
    </w:p>
    <w:p>
      <w:pPr>
        <w:spacing w:after="100" w:before="6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Toda migración es estrictamente bidireccional (up y down). El DatabaseSeeder orquesta la creación de roles, comercios verificados con coordenadas reales en Fusagasugá, productos con imágenes de muestra y usuarios de prueba (cliente@fusashop.com, comercio@fusashop.com, admin@fusashop.com).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6C47"/>
          <w:sz w:val="28"/>
          <w:szCs w:val="28"/>
        </w:rPr>
        <w:t xml:space="preserve">5. Lógica de Negocio y Flujo de Control Transaccional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5.1. Flujo de Control: Procesamiento de Órdenes y Pasarela Wompi</w:t>
      </w:r>
    </w:p>
    <w:p>
      <w:pPr>
        <w:spacing w:after="100" w:before="6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ciclo de vida transaccional opera en 10 etapas determinísticas: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1. El comprador solicita el checkout enviando ítems, dirección y cupón.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2. OrderService inicia transacción SQL, descuenta stock atómicamente y crea la orden en estado 'pending'.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3. El backend calcula la firma de integridad SHA-256 (referencia + monto + timestamp + secreto).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4. El cliente interactúa con el widget de Wompi seleccionando Bancolombia, Nequi o PSE.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5. Wompi procesa el cobro ante las redes financieras y emite un Webhook asíncrono hacia /api/wompi/webhook.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6. El webhook de FusaShop valida la firma criptográfica del evento.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7. Si es APROBADO: pasa la orden a 'paid', deduce stock definitivo, limpia carrito y acredita puntos de fidelidad.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8. Si es DECLINADO/FALLIDO: pasa la orden a 'cancelled' y retorna el stock reservado a disponible.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9. Se dispara el evento OrderPaidEvent para despacho asíncrono de factura electrónica y correos.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10. El comprador es redirigido a la vista de confirmación con su comprobante de pago.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5.2. Capa de Seguridad HTTP: Middlewares de Acceso y Control por Roles (RBAC)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auth: Verifica sesión activa y autenticada.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verified: Exige código OTP de 6 dígitos verificado antes de permitir compras o ventas.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role:ROLE_NAME: Filtra permisos por rol (consumer, merchant, analyst), emitiendo HTTP 403 Forbidden ante accesos no autorizados.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EnsureKycApproved: Bloquea la publicación y venta de artículos a comerciantes que no tengan su RUT auditado y aprobado.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5.3. Validación Declarativa mediante Clases FormRequest</w:t>
      </w:r>
    </w:p>
    <w:p>
      <w:pPr>
        <w:spacing w:after="100" w:before="6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Toda petición entrante que altere el estado del sistema es validada de forma desacoplada mediante clases FormRequest que verifican autorización previa y reglas de tipado, longitud y formatos (ejemplo: StoreProductRequest validando nombre, precio mínimo en COP, stock entero no negativo e imágenes JPG/PNG/WEBP).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6C47"/>
          <w:sz w:val="28"/>
          <w:szCs w:val="28"/>
        </w:rPr>
        <w:t xml:space="preserve">6. Estándares de Contribución y Flujo de Trabajo en Git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6.1. Modelo de Ramas (Git Branching Workflow)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main / Final: Código en estado de producción estable.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feature/*: Ramas de funcionalidad aisladas para nuevas capacidades (ej. feature/wompi-payouts).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fix/*: Correcciones inmediatas de errores en producción.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6.2. Convenciones de Commits Semánticos (Conventional Commits)</w:t>
      </w:r>
    </w:p>
    <w:p>
      <w:pPr>
        <w:spacing w:after="100" w:before="6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Todo commit debe seguir el formato: &lt;tipo&gt;(&lt;alcance opcional&gt;): &lt;descripción imperativa en minúsculas&gt;. Tipos admitidos: feat (nueva característica), fix (corrección de bug), refactor (mejora interna de código sin cambio funcional), perf (rendimiento), docs (documentación), test (pruebas automatizadas) y chore (mantenimiento o dependencias).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6.3. Guía de Estilos de Código (PSR-12 y Tailwind CSS)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PHP: Apego obligatorio a PSR-12 verificado con Laravel Pint (./vendor/bin/pint). Declaraciones de tipo estrictas.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Tailwind CSS: Ordenamiento semántico de clases utilitarias (Posicionamiento &gt; Box Model &gt; Dimensiones &gt; Tipografía &gt; Colores/Bordes &gt; Efectos).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Alpine.js: Lógica reactiva superior a 3 líneas debe desacoplarse en funciones de inicialización o archivos JS.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6.4. Versionamiento Semántico (SemVer) y Gestión del Changelog</w:t>
      </w:r>
    </w:p>
    <w:p>
      <w:pPr>
        <w:spacing w:after="100" w:before="6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FusaShop se rige bajo SemVer 2.0.0 (MAJOR.MINOR.PATCH). Todo despliegue debe ser etiquetado criptográficamente con Git tag (ej. git tag -a v2.4.0) y documentado formalmente en el archivo CHANGELOG.md siguiendo las pautas de Keep a Changelog.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Página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</w:r>
    <w:r>
      <w:rPr>
        <w:rFonts w:ascii="Arial" w:cs="Arial" w:eastAsia="Arial" w:hAnsi="Arial"/>
        <w:color w:val="64748B"/>
        <w:sz w:val="16"/>
        <w:szCs w:val="16"/>
      </w:rPr>
      <w:instrText xml:space="preserve">PAGE</w:instrText>
    </w:r>
    <w:r>
      <w:rPr>
        <w:rFonts w:ascii="Arial" w:cs="Arial" w:eastAsia="Arial" w:hAnsi="Arial"/>
        <w:color w:val="64748B"/>
        <w:sz w:val="16"/>
        <w:szCs w:val="16"/>
      </w:rPr>
      <w:fldChar w:fldCharType="separate"/>
    </w:r>
    <w:r>
      <w:rPr>
        <w:rFonts w:ascii="Arial" w:cs="Arial" w:eastAsia="Arial" w:hAnsi="Arial"/>
        <w:color w:val="64748B"/>
        <w:sz w:val="16"/>
        <w:szCs w:val="16"/>
      </w:rPr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de </w:t>
    </w:r>
    <w:r>
      <w:rPr>
        <w:rFonts w:ascii="Arial" w:cs="Arial" w:eastAsia="Arial" w:hAnsi="Arial"/>
        <w:color w:val="64748B"/>
        <w:sz w:val="16"/>
        <w:szCs w:val="16"/>
      </w:rPr>
      <w:fldChar w:fldCharType="begin"/>
    </w:r>
    <w:r>
      <w:rPr>
        <w:rFonts w:ascii="Arial" w:cs="Arial" w:eastAsia="Arial" w:hAnsi="Arial"/>
        <w:color w:val="64748B"/>
        <w:sz w:val="16"/>
        <w:szCs w:val="16"/>
      </w:rPr>
      <w:instrText xml:space="preserve">NUMPAGES</w:instrText>
    </w:r>
    <w:r>
      <w:rPr>
        <w:rFonts w:ascii="Arial" w:cs="Arial" w:eastAsia="Arial" w:hAnsi="Arial"/>
        <w:color w:val="64748B"/>
        <w:sz w:val="16"/>
        <w:szCs w:val="16"/>
      </w:rPr>
      <w:fldChar w:fldCharType="separate"/>
    </w:r>
    <w:r>
      <w:rPr>
        <w:rFonts w:ascii="Arial" w:cs="Arial" w:eastAsia="Arial" w:hAnsi="Arial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FusaShop — Manual para Desarrolladores (v2.4.0)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2026-10-24T02:16:44.930Z</dcterms:created>
  <dcterms:modified xsi:type="dcterms:W3CDTF">2026-10-24T02:16:44.932Z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