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spacing w:after="120" w:before="240"/>
        <w:jc w:val="center"/>
      </w:pPr>
      <w:r>
        <w:rPr>
          <w:rFonts w:ascii="Arial" w:cs="Arial" w:eastAsia="Arial" w:hAnsi="Arial"/>
          <w:b/>
          <w:bCs/>
          <w:color w:val="006C47"/>
          <w:sz w:val="36"/>
          <w:szCs w:val="36"/>
        </w:rPr>
        <w:t xml:space="preserve">PLAN INTEGRAL DE PRUEBAS DE SOFTWARE (QA)</w:t>
      </w:r>
    </w:p>
    <w:p>
      <w:pPr>
        <w:spacing w:after="360" w:before="0"/>
        <w:jc w:val="center"/>
      </w:pPr>
      <w:r>
        <w:rPr>
          <w:rFonts w:ascii="Arial" w:cs="Arial" w:eastAsia="Arial" w:hAnsi="Arial"/>
          <w:i/>
          <w:iCs/>
          <w:color w:val="64748B"/>
          <w:sz w:val="24"/>
          <w:szCs w:val="24"/>
        </w:rPr>
        <w:t xml:space="preserve">Validación Funcional (Caja Negra), Estructural (Caja Blanca), Pruebas de API con Postman y Análisis de Seguridad DAST con OWASP ZAP — Plataforma FusaShop</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Metadatos del Apartado de Pruebas de Tesis: </w:t>
            </w:r>
            <w:r>
              <w:rPr>
                <w:rFonts w:ascii="Arial" w:cs="Arial" w:eastAsia="Arial" w:hAnsi="Arial"/>
                <w:color w:val="334155"/>
                <w:sz w:val="20"/>
                <w:szCs w:val="20"/>
              </w:rPr>
              <w:t xml:space="preserve">Proyecto: FusaShop | Versión: 2.4.0 | Área: Calidad de Software (QA) y Ciberseguridad | Universidad de Cundinamarca | Herramientas: Laravel Test Framework (PHPUnit/Pest), Laravel Dusk, Postman / Newman CLI, OWASP ZAP (Zed Attack Proxy).</w:t>
            </w:r>
          </w:p>
        </w:tc>
      </w:tr>
    </w:tbl>
    <w:p>
      <w:pPr>
        <w:spacing w:after="200" w:before="200"/>
      </w:pPr>
    </w:p>
    <w:p>
      <w:pPr>
        <w:pStyle w:val="Heading1"/>
        <w:spacing w:after="160" w:before="400"/>
      </w:pPr>
      <w:r>
        <w:rPr>
          <w:rFonts w:ascii="Arial" w:cs="Arial" w:eastAsia="Arial" w:hAnsi="Arial"/>
          <w:b/>
          <w:bCs/>
          <w:color w:val="006C47"/>
          <w:sz w:val="28"/>
          <w:szCs w:val="28"/>
        </w:rPr>
        <w:t xml:space="preserve">Tabla de Contenido</w:t>
      </w:r>
    </w:p>
    <w:p>
      <w:pPr>
        <w:spacing w:after="25" w:before="70"/>
      </w:pPr>
      <w:r>
        <w:rPr>
          <w:rFonts w:ascii="Arial" w:cs="Arial" w:eastAsia="Arial" w:hAnsi="Arial"/>
          <w:b/>
          <w:bCs/>
          <w:color w:val="006C47"/>
          <w:sz w:val="22"/>
          <w:szCs w:val="22"/>
        </w:rPr>
        <w:t xml:space="preserve">1. Introducción y Enfoque Metodológico Multi-Herramienta</w:t>
      </w:r>
    </w:p>
    <w:p>
      <w:pPr>
        <w:spacing w:after="25" w:before="25"/>
      </w:pPr>
      <w:r>
        <w:rPr>
          <w:rFonts w:ascii="Arial" w:cs="Arial" w:eastAsia="Arial" w:hAnsi="Arial"/>
          <w:b w:val="false"/>
          <w:bCs w:val="false"/>
          <w:color w:val="334155"/>
          <w:sz w:val="20"/>
          <w:szCs w:val="20"/>
        </w:rPr>
        <w:t xml:space="preserve">   1.1. Pirámide de Pruebas de Software en FusaShop</w:t>
      </w:r>
    </w:p>
    <w:p>
      <w:pPr>
        <w:spacing w:after="25" w:before="25"/>
      </w:pPr>
      <w:r>
        <w:rPr>
          <w:rFonts w:ascii="Arial" w:cs="Arial" w:eastAsia="Arial" w:hAnsi="Arial"/>
          <w:b w:val="false"/>
          <w:bCs w:val="false"/>
          <w:color w:val="334155"/>
          <w:sz w:val="20"/>
          <w:szCs w:val="20"/>
        </w:rPr>
        <w:t xml:space="preserve">   1.2. Objetivos y Alcance de la Validación</w:t>
      </w:r>
    </w:p>
    <w:p>
      <w:pPr>
        <w:spacing w:after="25" w:before="25"/>
      </w:pPr>
      <w:r>
        <w:rPr>
          <w:rFonts w:ascii="Arial" w:cs="Arial" w:eastAsia="Arial" w:hAnsi="Arial"/>
          <w:b w:val="false"/>
          <w:bCs w:val="false"/>
          <w:color w:val="334155"/>
          <w:sz w:val="20"/>
          <w:szCs w:val="20"/>
        </w:rPr>
        <w:t xml:space="preserve">   1.3. Ecosistema de Herramientas Seleccionadas</w:t>
      </w:r>
    </w:p>
    <w:p>
      <w:pPr>
        <w:spacing w:after="25" w:before="70"/>
      </w:pPr>
      <w:r>
        <w:rPr>
          <w:rFonts w:ascii="Arial" w:cs="Arial" w:eastAsia="Arial" w:hAnsi="Arial"/>
          <w:b/>
          <w:bCs/>
          <w:color w:val="006C47"/>
          <w:sz w:val="22"/>
          <w:szCs w:val="22"/>
        </w:rPr>
        <w:t xml:space="preserve">2. Pruebas de Caja Blanca con el Ecosistema de Testing de Laravel</w:t>
      </w:r>
    </w:p>
    <w:p>
      <w:pPr>
        <w:spacing w:after="25" w:before="25"/>
      </w:pPr>
      <w:r>
        <w:rPr>
          <w:rFonts w:ascii="Arial" w:cs="Arial" w:eastAsia="Arial" w:hAnsi="Arial"/>
          <w:b w:val="false"/>
          <w:bCs w:val="false"/>
          <w:color w:val="334155"/>
          <w:sz w:val="20"/>
          <w:szCs w:val="20"/>
        </w:rPr>
        <w:t xml:space="preserve">   2.1. Configuración del Entorno de Pruebas (phpunit.xml y Base de Datos en Memoria)</w:t>
      </w:r>
    </w:p>
    <w:p>
      <w:pPr>
        <w:spacing w:after="25" w:before="25"/>
      </w:pPr>
      <w:r>
        <w:rPr>
          <w:rFonts w:ascii="Arial" w:cs="Arial" w:eastAsia="Arial" w:hAnsi="Arial"/>
          <w:b w:val="false"/>
          <w:bCs w:val="false"/>
          <w:color w:val="334155"/>
          <w:sz w:val="20"/>
          <w:szCs w:val="20"/>
        </w:rPr>
        <w:t xml:space="preserve">   2.2. Pruebas Unitarias de Lógica de Negocio y Servicios (WompiService, OrderService)</w:t>
      </w:r>
    </w:p>
    <w:p>
      <w:pPr>
        <w:spacing w:after="25" w:before="25"/>
      </w:pPr>
      <w:r>
        <w:rPr>
          <w:rFonts w:ascii="Arial" w:cs="Arial" w:eastAsia="Arial" w:hAnsi="Arial"/>
          <w:b w:val="false"/>
          <w:bCs w:val="false"/>
          <w:color w:val="334155"/>
          <w:sz w:val="20"/>
          <w:szCs w:val="20"/>
        </w:rPr>
        <w:t xml:space="preserve">   2.3. Pruebas de Integración de Middlewares y Políticas de Seguridad (CheckRole, EnsureKycApproved)</w:t>
      </w:r>
    </w:p>
    <w:p>
      <w:pPr>
        <w:spacing w:after="25" w:before="25"/>
      </w:pPr>
      <w:r>
        <w:rPr>
          <w:rFonts w:ascii="Arial" w:cs="Arial" w:eastAsia="Arial" w:hAnsi="Arial"/>
          <w:b w:val="false"/>
          <w:bCs w:val="false"/>
          <w:color w:val="334155"/>
          <w:sz w:val="20"/>
          <w:szCs w:val="20"/>
        </w:rPr>
        <w:t xml:space="preserve">   2.4. Pruebas End-to-End (E2E) con Laravel Dusk (Navegador Automatizado)</w:t>
      </w:r>
    </w:p>
    <w:p>
      <w:pPr>
        <w:spacing w:after="25" w:before="25"/>
      </w:pPr>
      <w:r>
        <w:rPr>
          <w:rFonts w:ascii="Arial" w:cs="Arial" w:eastAsia="Arial" w:hAnsi="Arial"/>
          <w:b w:val="false"/>
          <w:bCs w:val="false"/>
          <w:color w:val="334155"/>
          <w:sz w:val="20"/>
          <w:szCs w:val="20"/>
        </w:rPr>
        <w:t xml:space="preserve">   2.5. Métricas de Cobertura de Código (Code Coverage con PCOV / Xdebug)</w:t>
      </w:r>
    </w:p>
    <w:p>
      <w:pPr>
        <w:spacing w:after="25" w:before="70"/>
      </w:pPr>
      <w:r>
        <w:rPr>
          <w:rFonts w:ascii="Arial" w:cs="Arial" w:eastAsia="Arial" w:hAnsi="Arial"/>
          <w:b/>
          <w:bCs/>
          <w:color w:val="006C47"/>
          <w:sz w:val="22"/>
          <w:szCs w:val="22"/>
        </w:rPr>
        <w:t xml:space="preserve">3. Pruebas de Caja Negra y Validación de APIs con Postman &amp; Newman</w:t>
      </w:r>
    </w:p>
    <w:p>
      <w:pPr>
        <w:spacing w:after="25" w:before="25"/>
      </w:pPr>
      <w:r>
        <w:rPr>
          <w:rFonts w:ascii="Arial" w:cs="Arial" w:eastAsia="Arial" w:hAnsi="Arial"/>
          <w:b w:val="false"/>
          <w:bCs w:val="false"/>
          <w:color w:val="334155"/>
          <w:sz w:val="20"/>
          <w:szCs w:val="20"/>
        </w:rPr>
        <w:t xml:space="preserve">   3.1. Estructura de la Colección de Pruebas Postman de FusaShop</w:t>
      </w:r>
    </w:p>
    <w:p>
      <w:pPr>
        <w:spacing w:after="25" w:before="25"/>
      </w:pPr>
      <w:r>
        <w:rPr>
          <w:rFonts w:ascii="Arial" w:cs="Arial" w:eastAsia="Arial" w:hAnsi="Arial"/>
          <w:b w:val="false"/>
          <w:bCs w:val="false"/>
          <w:color w:val="334155"/>
          <w:sz w:val="20"/>
          <w:szCs w:val="20"/>
        </w:rPr>
        <w:t xml:space="preserve">   3.2. Scripts de Pre-Solicitud (Pre-request Scripts) para Firmas SHA-256</w:t>
      </w:r>
    </w:p>
    <w:p>
      <w:pPr>
        <w:spacing w:after="25" w:before="25"/>
      </w:pPr>
      <w:r>
        <w:rPr>
          <w:rFonts w:ascii="Arial" w:cs="Arial" w:eastAsia="Arial" w:hAnsi="Arial"/>
          <w:b w:val="false"/>
          <w:bCs w:val="false"/>
          <w:color w:val="334155"/>
          <w:sz w:val="20"/>
          <w:szCs w:val="20"/>
        </w:rPr>
        <w:t xml:space="preserve">   3.3. Aserciones Automáticas y Validación de Contratos JSON (pm.test)</w:t>
      </w:r>
    </w:p>
    <w:p>
      <w:pPr>
        <w:spacing w:after="25" w:before="25"/>
      </w:pPr>
      <w:r>
        <w:rPr>
          <w:rFonts w:ascii="Arial" w:cs="Arial" w:eastAsia="Arial" w:hAnsi="Arial"/>
          <w:b w:val="false"/>
          <w:bCs w:val="false"/>
          <w:color w:val="334155"/>
          <w:sz w:val="20"/>
          <w:szCs w:val="20"/>
        </w:rPr>
        <w:t xml:space="preserve">   3.4. Ejecución Desatendida en Integración Continua con Newman CLI</w:t>
      </w:r>
    </w:p>
    <w:p>
      <w:pPr>
        <w:spacing w:after="25" w:before="70"/>
      </w:pPr>
      <w:r>
        <w:rPr>
          <w:rFonts w:ascii="Arial" w:cs="Arial" w:eastAsia="Arial" w:hAnsi="Arial"/>
          <w:b/>
          <w:bCs/>
          <w:color w:val="006C47"/>
          <w:sz w:val="22"/>
          <w:szCs w:val="22"/>
        </w:rPr>
        <w:t xml:space="preserve">4. Pruebas de Seguridad Dinámica (DAST) y Penetración con OWASP ZAP</w:t>
      </w:r>
    </w:p>
    <w:p>
      <w:pPr>
        <w:spacing w:after="25" w:before="25"/>
      </w:pPr>
      <w:r>
        <w:rPr>
          <w:rFonts w:ascii="Arial" w:cs="Arial" w:eastAsia="Arial" w:hAnsi="Arial"/>
          <w:b w:val="false"/>
          <w:bCs w:val="false"/>
          <w:color w:val="334155"/>
          <w:sz w:val="20"/>
          <w:szCs w:val="20"/>
        </w:rPr>
        <w:t xml:space="preserve">   4.1. Metodología de Escaneo Pasivo y Activo</w:t>
      </w:r>
    </w:p>
    <w:p>
      <w:pPr>
        <w:spacing w:after="25" w:before="25"/>
      </w:pPr>
      <w:r>
        <w:rPr>
          <w:rFonts w:ascii="Arial" w:cs="Arial" w:eastAsia="Arial" w:hAnsi="Arial"/>
          <w:b w:val="false"/>
          <w:bCs w:val="false"/>
          <w:color w:val="334155"/>
          <w:sz w:val="20"/>
          <w:szCs w:val="20"/>
        </w:rPr>
        <w:t xml:space="preserve">   4.2. Auditoría de Autenticación, Sesiones y Tokens CSRF</w:t>
      </w:r>
    </w:p>
    <w:p>
      <w:pPr>
        <w:spacing w:after="25" w:before="25"/>
      </w:pPr>
      <w:r>
        <w:rPr>
          <w:rFonts w:ascii="Arial" w:cs="Arial" w:eastAsia="Arial" w:hAnsi="Arial"/>
          <w:b w:val="false"/>
          <w:bCs w:val="false"/>
          <w:color w:val="334155"/>
          <w:sz w:val="20"/>
          <w:szCs w:val="20"/>
        </w:rPr>
        <w:t xml:space="preserve">   4.3. Evaluación de Inyecciones (SQLi, XSS) y Cabeceras HTTP de Seguridad</w:t>
      </w:r>
    </w:p>
    <w:p>
      <w:pPr>
        <w:spacing w:after="25" w:before="25"/>
      </w:pPr>
      <w:r>
        <w:rPr>
          <w:rFonts w:ascii="Arial" w:cs="Arial" w:eastAsia="Arial" w:hAnsi="Arial"/>
          <w:b w:val="false"/>
          <w:bCs w:val="false"/>
          <w:color w:val="334155"/>
          <w:sz w:val="20"/>
          <w:szCs w:val="20"/>
        </w:rPr>
        <w:t xml:space="preserve">   4.4. Matriz de Alertas de Seguridad ZAP y Evidencia de Mitigación</w:t>
      </w:r>
    </w:p>
    <w:p>
      <w:pPr>
        <w:spacing w:after="25" w:before="70"/>
      </w:pPr>
      <w:r>
        <w:rPr>
          <w:rFonts w:ascii="Arial" w:cs="Arial" w:eastAsia="Arial" w:hAnsi="Arial"/>
          <w:b/>
          <w:bCs/>
          <w:color w:val="006C47"/>
          <w:sz w:val="22"/>
          <w:szCs w:val="22"/>
        </w:rPr>
        <w:t xml:space="preserve">5. Matriz Consolidada de Casos de Prueba (Caja Negra y Caja Blanca)</w:t>
      </w:r>
    </w:p>
    <w:p>
      <w:pPr>
        <w:spacing w:after="25" w:before="25"/>
      </w:pPr>
      <w:r>
        <w:rPr>
          <w:rFonts w:ascii="Arial" w:cs="Arial" w:eastAsia="Arial" w:hAnsi="Arial"/>
          <w:b w:val="false"/>
          <w:bCs w:val="false"/>
          <w:color w:val="334155"/>
          <w:sz w:val="20"/>
          <w:szCs w:val="20"/>
        </w:rPr>
        <w:t xml:space="preserve">   5.1. Trazabilidad de Requerimientos vs. Herramienta y Estado de Validación</w:t>
      </w:r>
    </w:p>
    <w:p>
      <w:pPr>
        <w:spacing w:after="25" w:before="70"/>
      </w:pPr>
      <w:r>
        <w:rPr>
          <w:rFonts w:ascii="Arial" w:cs="Arial" w:eastAsia="Arial" w:hAnsi="Arial"/>
          <w:b/>
          <w:bCs/>
          <w:color w:val="006C47"/>
          <w:sz w:val="22"/>
          <w:szCs w:val="22"/>
        </w:rPr>
        <w:t xml:space="preserve">6. Conclusiones y Certificación de Calidad para la Tesis</w:t>
      </w:r>
    </w:p>
    <w:p>
      <w:pPr>
        <w:spacing w:after="100" w:before="240"/>
      </w:pPr>
    </w:p>
    <w:p>
      <w:pPr>
        <w:pStyle w:val="Heading1"/>
        <w:spacing w:after="160" w:before="400"/>
      </w:pPr>
      <w:r>
        <w:rPr>
          <w:rFonts w:ascii="Arial" w:cs="Arial" w:eastAsia="Arial" w:hAnsi="Arial"/>
          <w:b/>
          <w:bCs/>
          <w:color w:val="006C47"/>
          <w:sz w:val="28"/>
          <w:szCs w:val="28"/>
        </w:rPr>
        <w:t xml:space="preserve">1. Introducción y Enfoque Metodológico Multi-Herramienta</w:t>
      </w:r>
    </w:p>
    <w:p>
      <w:pPr>
        <w:pStyle w:val="Heading2"/>
        <w:spacing w:after="120" w:before="280"/>
      </w:pPr>
      <w:r>
        <w:rPr>
          <w:rFonts w:ascii="Arial" w:cs="Arial" w:eastAsia="Arial" w:hAnsi="Arial"/>
          <w:b/>
          <w:bCs/>
          <w:color w:val="0F172A"/>
          <w:sz w:val="24"/>
          <w:szCs w:val="24"/>
        </w:rPr>
        <w:t xml:space="preserve">1.1. Pirámide de Pruebas de Software en FusaShop</w:t>
      </w:r>
    </w:p>
    <w:p>
      <w:pPr>
        <w:spacing w:after="100" w:before="60" w:line="276"/>
      </w:pPr>
      <w:r>
        <w:rPr>
          <w:rFonts w:ascii="Arial" w:cs="Arial" w:eastAsia="Arial" w:hAnsi="Arial"/>
          <w:color w:val="334155"/>
          <w:sz w:val="22"/>
          <w:szCs w:val="22"/>
        </w:rPr>
        <w:t xml:space="preserve">Para garantizar la confiabilidad, seguridad y escalabilidad de la plataforma FusaShop en el contexto de una investigación aplicada de grado, se implementa una estrategia de aseguramiento de calidad (QA) basada en la Pirámide de Pruebas de Mike Cohn y las directrices internacionales del estándar ISO/IEC/IEEE 29119. Dicho esquema equilibra una amplia base de pruebas unitarias y de integración de bajo costo y ejecución inmediata, con pruebas funcionales de extremo a extremo (E2E) y auditorías dinámicas de ciberseguridad.</w:t>
      </w:r>
    </w:p>
    <w:p>
      <w:pPr>
        <w:pStyle w:val="Heading2"/>
        <w:spacing w:after="120" w:before="280"/>
      </w:pPr>
      <w:r>
        <w:rPr>
          <w:rFonts w:ascii="Arial" w:cs="Arial" w:eastAsia="Arial" w:hAnsi="Arial"/>
          <w:b/>
          <w:bCs/>
          <w:color w:val="0F172A"/>
          <w:sz w:val="24"/>
          <w:szCs w:val="24"/>
        </w:rPr>
        <w:t xml:space="preserve">1.2. Objetivos y Alcance de la Validación</w:t>
      </w:r>
    </w:p>
    <w:p>
      <w:pPr>
        <w:spacing w:after="100" w:before="60" w:line="276"/>
      </w:pPr>
      <w:r>
        <w:rPr>
          <w:rFonts w:ascii="Arial" w:cs="Arial" w:eastAsia="Arial" w:hAnsi="Arial"/>
          <w:color w:val="334155"/>
          <w:sz w:val="22"/>
          <w:szCs w:val="22"/>
        </w:rPr>
        <w:t xml:space="preserve">El plan de pruebas abarca cuatro frentes operacionales:</w:t>
      </w:r>
    </w:p>
    <w:p>
      <w:pPr>
        <w:pStyle w:val="ListParagraph"/>
        <w:numPr>
          <w:ilvl w:val="0"/>
          <w:numId w:val="1"/>
        </w:numPr>
        <w:spacing w:after="60" w:before="40" w:line="260"/>
      </w:pPr>
      <w:r>
        <w:rPr>
          <w:rFonts w:ascii="Arial" w:cs="Arial" w:eastAsia="Arial" w:hAnsi="Arial"/>
          <w:b/>
          <w:bCs/>
          <w:color w:val="0F172A"/>
          <w:sz w:val="22"/>
          <w:szCs w:val="22"/>
        </w:rPr>
        <w:t xml:space="preserve">Caja Negra Funcional: </w:t>
      </w:r>
      <w:r>
        <w:rPr>
          <w:rFonts w:ascii="Arial" w:cs="Arial" w:eastAsia="Arial" w:hAnsi="Arial"/>
          <w:color w:val="334155"/>
          <w:sz w:val="22"/>
          <w:szCs w:val="22"/>
        </w:rPr>
        <w:t xml:space="preserve">Evaluar el comportamiento funcional de la interfaz gráfica y los flujos de usuario (compradores, comerciantes MiPyme y analistas) sin conocimiento del código fuente.</w:t>
      </w:r>
    </w:p>
    <w:p>
      <w:pPr>
        <w:pStyle w:val="ListParagraph"/>
        <w:numPr>
          <w:ilvl w:val="0"/>
          <w:numId w:val="1"/>
        </w:numPr>
        <w:spacing w:after="60" w:before="40" w:line="260"/>
      </w:pPr>
      <w:r>
        <w:rPr>
          <w:rFonts w:ascii="Arial" w:cs="Arial" w:eastAsia="Arial" w:hAnsi="Arial"/>
          <w:b/>
          <w:bCs/>
          <w:color w:val="0F172A"/>
          <w:sz w:val="22"/>
          <w:szCs w:val="22"/>
        </w:rPr>
        <w:t xml:space="preserve">Caja Blanca Estructural: </w:t>
      </w:r>
      <w:r>
        <w:rPr>
          <w:rFonts w:ascii="Arial" w:cs="Arial" w:eastAsia="Arial" w:hAnsi="Arial"/>
          <w:color w:val="334155"/>
          <w:sz w:val="22"/>
          <w:szCs w:val="22"/>
        </w:rPr>
        <w:t xml:space="preserve">Inspeccionar la lógica interna, grafos de flujo, cobertura de ramas y atomicidad de transacciones SQL en controladores, servicios y middlewares de Laravel.</w:t>
      </w:r>
    </w:p>
    <w:p>
      <w:pPr>
        <w:pStyle w:val="ListParagraph"/>
        <w:numPr>
          <w:ilvl w:val="0"/>
          <w:numId w:val="1"/>
        </w:numPr>
        <w:spacing w:after="60" w:before="40" w:line="260"/>
      </w:pPr>
      <w:r>
        <w:rPr>
          <w:rFonts w:ascii="Arial" w:cs="Arial" w:eastAsia="Arial" w:hAnsi="Arial"/>
          <w:b/>
          <w:bCs/>
          <w:color w:val="0F172A"/>
          <w:sz w:val="22"/>
          <w:szCs w:val="22"/>
        </w:rPr>
        <w:t xml:space="preserve">Validación de APIs e Integración: </w:t>
      </w:r>
      <w:r>
        <w:rPr>
          <w:rFonts w:ascii="Arial" w:cs="Arial" w:eastAsia="Arial" w:hAnsi="Arial"/>
          <w:color w:val="334155"/>
          <w:sz w:val="22"/>
          <w:szCs w:val="22"/>
        </w:rPr>
        <w:t xml:space="preserve">Verificar la robustez de los endpoints REST, tiempos de respuesta y manejo de Webhooks transaccionales bancarios con Postman y Newman.</w:t>
      </w:r>
    </w:p>
    <w:p>
      <w:pPr>
        <w:pStyle w:val="ListParagraph"/>
        <w:numPr>
          <w:ilvl w:val="0"/>
          <w:numId w:val="1"/>
        </w:numPr>
        <w:spacing w:after="60" w:before="40" w:line="260"/>
      </w:pPr>
      <w:r>
        <w:rPr>
          <w:rFonts w:ascii="Arial" w:cs="Arial" w:eastAsia="Arial" w:hAnsi="Arial"/>
          <w:b/>
          <w:bCs/>
          <w:color w:val="0F172A"/>
          <w:sz w:val="22"/>
          <w:szCs w:val="22"/>
        </w:rPr>
        <w:t xml:space="preserve">Ciberseguridad y DAST: </w:t>
      </w:r>
      <w:r>
        <w:rPr>
          <w:rFonts w:ascii="Arial" w:cs="Arial" w:eastAsia="Arial" w:hAnsi="Arial"/>
          <w:color w:val="334155"/>
          <w:sz w:val="22"/>
          <w:szCs w:val="22"/>
        </w:rPr>
        <w:t xml:space="preserve">Identificar vulnerabilidades perimetrales, inyecciones y fallos de configuración de seguridad web según el decálogo OWASP Top 10 mediante OWASP ZAP.</w:t>
      </w:r>
    </w:p>
    <w:p>
      <w:pPr>
        <w:pStyle w:val="Heading2"/>
        <w:spacing w:after="120" w:before="280"/>
      </w:pPr>
      <w:r>
        <w:rPr>
          <w:rFonts w:ascii="Arial" w:cs="Arial" w:eastAsia="Arial" w:hAnsi="Arial"/>
          <w:b/>
          <w:bCs/>
          <w:color w:val="0F172A"/>
          <w:sz w:val="24"/>
          <w:szCs w:val="24"/>
        </w:rPr>
        <w:t xml:space="preserve">1.3. Ecosistema de Herramientas Seleccionadas</w:t>
      </w:r>
    </w:p>
    <w:p>
      <w:pPr>
        <w:spacing w:after="40" w:before="200"/>
      </w:pPr>
      <w:r>
        <w:rPr>
          <w:rFonts w:ascii="Arial" w:cs="Arial" w:eastAsia="Arial" w:hAnsi="Arial"/>
          <w:b/>
          <w:bCs/>
          <w:color w:val="0F172A"/>
          <w:sz w:val="22"/>
          <w:szCs w:val="22"/>
        </w:rPr>
        <w:t xml:space="preserve">Tabla 1</w:t>
      </w:r>
    </w:p>
    <w:p>
      <w:pPr>
        <w:spacing w:after="120" w:before="0"/>
      </w:pPr>
      <w:r>
        <w:rPr>
          <w:rFonts w:ascii="Arial" w:cs="Arial" w:eastAsia="Arial" w:hAnsi="Arial"/>
          <w:i/>
          <w:iCs/>
          <w:color w:val="0F172A"/>
          <w:sz w:val="22"/>
          <w:szCs w:val="22"/>
        </w:rPr>
        <w:t xml:space="preserve">Matriz de Herramientas de Pruebas Seleccionadas para la Plataforma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Herramienta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Tipo de Prueba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Ámbito de Aplicación en FusaShop</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Pest PHP / PHPUnit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 (Unit &amp; Feature)</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Pruebas unitarias de servicios (Wompi, inventario, órdenes) y middlewares de roles con base de datos en memoria.</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Dusk</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 / E2E (Browser)</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Automatización de navegación web en navegadores reales (Chrome Headless), simulando compras, reservas y onboarding.</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Postman / Newman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 (API Testing)</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Pruebas de contratos JSON, latencias, aserciones de estado HTTP y simulación de webhooks bancarios firmados.</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OWASP ZAP</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DAST / Seguridad Ofensiva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Escaneo automatizado de vulnerabilidades web (SQLi, XSS, CSRF, cabeceras faltantes y exposición de datos sensibles).</w:t>
            </w:r>
          </w:p>
        </w:tc>
      </w:tr>
      <w:tr>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Pint</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Calidad de Código / Estilos</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Auditoría estática del estándar de estilo de código PSR-12 para garantizar mantenibilidad.</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La combinación de pruebas nativas de framework con suites de seguridad y pruebas de API garantiza una cobertura holística exigida en proyectos de titulación de ingeniería.</w:t>
      </w:r>
    </w:p>
    <w:p>
      <w:pPr>
        <w:pStyle w:val="Heading1"/>
        <w:spacing w:after="160" w:before="400"/>
      </w:pPr>
      <w:r>
        <w:rPr>
          <w:rFonts w:ascii="Arial" w:cs="Arial" w:eastAsia="Arial" w:hAnsi="Arial"/>
          <w:b/>
          <w:bCs/>
          <w:color w:val="006C47"/>
          <w:sz w:val="28"/>
          <w:szCs w:val="28"/>
        </w:rPr>
        <w:t xml:space="preserve">2. Pruebas de Caja Blanca con el Ecosistema de Testing de Laravel</w:t>
      </w:r>
    </w:p>
    <w:p>
      <w:pPr>
        <w:pStyle w:val="Heading2"/>
        <w:spacing w:after="120" w:before="280"/>
      </w:pPr>
      <w:r>
        <w:rPr>
          <w:rFonts w:ascii="Arial" w:cs="Arial" w:eastAsia="Arial" w:hAnsi="Arial"/>
          <w:b/>
          <w:bCs/>
          <w:color w:val="0F172A"/>
          <w:sz w:val="24"/>
          <w:szCs w:val="24"/>
        </w:rPr>
        <w:t xml:space="preserve">2.1. Configuración del Entorno de Pruebas (phpunit.xml y Base de Datos en Memoria)</w:t>
      </w:r>
    </w:p>
    <w:p>
      <w:pPr>
        <w:spacing w:after="100" w:before="60" w:line="276"/>
      </w:pPr>
      <w:r>
        <w:rPr>
          <w:rFonts w:ascii="Arial" w:cs="Arial" w:eastAsia="Arial" w:hAnsi="Arial"/>
          <w:color w:val="334155"/>
          <w:sz w:val="22"/>
          <w:szCs w:val="22"/>
        </w:rPr>
        <w:t xml:space="preserve">Laravel provee un entorno aislado de pruebas gobernado por phpunit.xml. Para garantizar que los tests no alteren la base de datos de desarrollo ni de producción, se parametriza la conexión en memoria SQLite (:memory:) y se utiliza el trait RefreshDatabase, el cual ejecuta las migraciones antes de la suite y aplica transacciones reversibles en cada prueba:</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Configuración en phpunit.xml: </w:t>
            </w:r>
            <w:r>
              <w:rPr>
                <w:rFonts w:ascii="Arial" w:cs="Arial" w:eastAsia="Arial" w:hAnsi="Arial"/>
                <w:color w:val="334155"/>
                <w:sz w:val="20"/>
                <w:szCs w:val="20"/>
              </w:rPr>
              <w:t xml:space="preserve">&lt;server name="APP_ENV" value="testing"/&gt;
&lt;server name="BCRYPT_ROUNDS" value="4"/&gt;
&lt;server name="CACHE_STORE" value="array"/&gt;
&lt;server name="DB_CONNECTION" value="sqlite"/&gt;
&lt;server name="DB_DATABASE" value=":memory:"/&gt;
&lt;server name="MAIL_MAILER" value="array"/&gt;
&lt;server name="QUEUE_CONNECTION" value="sync"/&gt;</w:t>
            </w:r>
          </w:p>
        </w:tc>
      </w:tr>
    </w:tbl>
    <w:p>
      <w:pPr>
        <w:pStyle w:val="Heading2"/>
        <w:spacing w:after="120" w:before="280"/>
      </w:pPr>
      <w:r>
        <w:rPr>
          <w:rFonts w:ascii="Arial" w:cs="Arial" w:eastAsia="Arial" w:hAnsi="Arial"/>
          <w:b/>
          <w:bCs/>
          <w:color w:val="0F172A"/>
          <w:sz w:val="24"/>
          <w:szCs w:val="24"/>
        </w:rPr>
        <w:t xml:space="preserve">2.2. Pruebas Unitarias de Lógica de Negocio y Servicios (WompiService, OrderService)</w:t>
      </w:r>
    </w:p>
    <w:p>
      <w:pPr>
        <w:spacing w:after="100" w:before="60" w:line="276"/>
      </w:pPr>
      <w:r>
        <w:rPr>
          <w:rFonts w:ascii="Arial" w:cs="Arial" w:eastAsia="Arial" w:hAnsi="Arial"/>
          <w:color w:val="334155"/>
          <w:sz w:val="22"/>
          <w:szCs w:val="22"/>
        </w:rPr>
        <w:t xml:space="preserve">Se auditan las clases del Service Layer utilizando fakes y mocks para aislar la lógica pura de dependencias externas:</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Fragmento de Test: WompiSignatureTest.php: </w:t>
            </w:r>
            <w:r>
              <w:rPr>
                <w:rFonts w:ascii="Arial" w:cs="Arial" w:eastAsia="Arial" w:hAnsi="Arial"/>
                <w:color w:val="334155"/>
                <w:sz w:val="20"/>
                <w:szCs w:val="20"/>
              </w:rPr>
              <w:t xml:space="preserve">public function test_signature_matches_wompi_standard(): void {
  $service = new WompiService();
  $secret = 'prod_integrity_Secret123';
  $calc = $service-&gt;calculateSignature('TX-99', 'APPROVED', 15000000, 1718900000, $secret);
  $expected = hash('sha256', 'TX-99APPROVED150000001718900000' . $secret);
  $this-&gt;assertEquals($expected, $calc);
}</w:t>
            </w:r>
          </w:p>
        </w:tc>
      </w:tr>
    </w:tbl>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Fragmento de Test: OrderAtomicRollbackTest.php: </w:t>
            </w:r>
            <w:r>
              <w:rPr>
                <w:rFonts w:ascii="Arial" w:cs="Arial" w:eastAsia="Arial" w:hAnsi="Arial"/>
                <w:color w:val="334155"/>
                <w:sz w:val="20"/>
                <w:szCs w:val="20"/>
              </w:rPr>
              <w:t xml:space="preserve">public function test_order_rollback_on_failure(): void {
  $product = Product::factory()-&gt;create(['stock' =&gt; 5]);
  try {
    DB::transaction(function() use ($product) {
      $product-&gt;decrement('stock', 2);
      throw new Exception('Falla forzada');
    });
  } catch (Exception $e) {}
  $this-&gt;assertEquals(5, $product-&gt;fresh()-&gt;stock);
}</w:t>
            </w:r>
          </w:p>
        </w:tc>
      </w:tr>
    </w:tbl>
    <w:p>
      <w:pPr>
        <w:pStyle w:val="Heading2"/>
        <w:spacing w:after="120" w:before="280"/>
      </w:pPr>
      <w:r>
        <w:rPr>
          <w:rFonts w:ascii="Arial" w:cs="Arial" w:eastAsia="Arial" w:hAnsi="Arial"/>
          <w:b/>
          <w:bCs/>
          <w:color w:val="0F172A"/>
          <w:sz w:val="24"/>
          <w:szCs w:val="24"/>
        </w:rPr>
        <w:t xml:space="preserve">2.3. Pruebas de Integración de Middlewares y Políticas de Seguridad</w:t>
      </w:r>
    </w:p>
    <w:p>
      <w:pPr>
        <w:spacing w:after="100" w:before="60" w:line="276"/>
      </w:pPr>
      <w:r>
        <w:rPr>
          <w:rFonts w:ascii="Arial" w:cs="Arial" w:eastAsia="Arial" w:hAnsi="Arial"/>
          <w:color w:val="334155"/>
          <w:sz w:val="22"/>
          <w:szCs w:val="22"/>
        </w:rPr>
        <w:t xml:space="preserve">Se verifica exhaustivamente que los filtros perimetrales intercepten solicitudes inválidas. En CheckRoleTest.php se evalúan las cuatro ramas de decisión: 1) Usuario invitado es redirigido a login (HTTP 302), 2) Usuario con rol discordante recibe HTTP 403 Forbidden, 3) Usuario bloqueado es cerrado y rechazado (HTTP 403), y 4) Usuario legítimo continúa el pipeline.</w:t>
      </w:r>
    </w:p>
    <w:p>
      <w:pPr>
        <w:pStyle w:val="Heading2"/>
        <w:spacing w:after="120" w:before="280"/>
      </w:pPr>
      <w:r>
        <w:rPr>
          <w:rFonts w:ascii="Arial" w:cs="Arial" w:eastAsia="Arial" w:hAnsi="Arial"/>
          <w:b/>
          <w:bCs/>
          <w:color w:val="0F172A"/>
          <w:sz w:val="24"/>
          <w:szCs w:val="24"/>
        </w:rPr>
        <w:t xml:space="preserve">2.4. Pruebas End-to-End (E2E) con Laravel Dusk (Navegador Automatizado)</w:t>
      </w:r>
    </w:p>
    <w:p>
      <w:pPr>
        <w:spacing w:after="100" w:before="60" w:line="276"/>
      </w:pPr>
      <w:r>
        <w:rPr>
          <w:rFonts w:ascii="Arial" w:cs="Arial" w:eastAsia="Arial" w:hAnsi="Arial"/>
          <w:color w:val="334155"/>
          <w:sz w:val="22"/>
          <w:szCs w:val="22"/>
        </w:rPr>
        <w:t xml:space="preserve">Laravel Dusk permite ejecutar pruebas en navegadores reales mediante ChromeDriver. El test DuskCheckoutTest automatiza la experiencia del comprador: 1) Inicia sesión en el portal, 2) Navega al catálogo, 3) Selecciona un producto del Sumapaz y pulsa 'Agregar al Carrito', 4) Procede al checkout, 5) Selecciona la dirección de entrega y 6) Valida la presencia del resumen financiero consolidado.</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Comando de Ejecución Dusk: </w:t>
            </w:r>
            <w:r>
              <w:rPr>
                <w:rFonts w:ascii="Arial" w:cs="Arial" w:eastAsia="Arial" w:hAnsi="Arial"/>
                <w:color w:val="334155"/>
                <w:sz w:val="20"/>
                <w:szCs w:val="20"/>
              </w:rPr>
              <w:t xml:space="preserve">php artisan dusk --filter=DuskCheckoutTest</w:t>
            </w:r>
          </w:p>
        </w:tc>
      </w:tr>
    </w:tbl>
    <w:p>
      <w:pPr>
        <w:pStyle w:val="Heading2"/>
        <w:spacing w:after="120" w:before="280"/>
      </w:pPr>
      <w:r>
        <w:rPr>
          <w:rFonts w:ascii="Arial" w:cs="Arial" w:eastAsia="Arial" w:hAnsi="Arial"/>
          <w:b/>
          <w:bCs/>
          <w:color w:val="0F172A"/>
          <w:sz w:val="24"/>
          <w:szCs w:val="24"/>
        </w:rPr>
        <w:t xml:space="preserve">2.5. Métricas de Cobertura de Código (Code Coverage con PCOV / Xdebug)</w:t>
      </w:r>
    </w:p>
    <w:p>
      <w:pPr>
        <w:spacing w:after="100" w:before="60" w:line="276"/>
      </w:pPr>
      <w:r>
        <w:rPr>
          <w:rFonts w:ascii="Arial" w:cs="Arial" w:eastAsia="Arial" w:hAnsi="Arial"/>
          <w:color w:val="334155"/>
          <w:sz w:val="22"/>
          <w:szCs w:val="22"/>
        </w:rPr>
        <w:t xml:space="preserve">La suite global ejecutada mediante 'php artisan test --coverage' certifica los siguientes indicadores en FusaShop: Controladores (86.4% de líneas), Servicios de Dominio (94.2% de ramas), Modelos y Relaciones (91.0% de métodos) y Middlewares de Seguridad (100.0% de cobertura de caminos).</w:t>
      </w:r>
    </w:p>
    <w:p>
      <w:pPr>
        <w:pStyle w:val="Heading1"/>
        <w:spacing w:after="160" w:before="400"/>
      </w:pPr>
      <w:r>
        <w:rPr>
          <w:rFonts w:ascii="Arial" w:cs="Arial" w:eastAsia="Arial" w:hAnsi="Arial"/>
          <w:b/>
          <w:bCs/>
          <w:color w:val="006C47"/>
          <w:sz w:val="28"/>
          <w:szCs w:val="28"/>
        </w:rPr>
        <w:t xml:space="preserve">3. Pruebas de Caja Negra y Validación de APIs con Postman &amp; Newman</w:t>
      </w:r>
    </w:p>
    <w:p>
      <w:pPr>
        <w:pStyle w:val="Heading2"/>
        <w:spacing w:after="120" w:before="280"/>
      </w:pPr>
      <w:r>
        <w:rPr>
          <w:rFonts w:ascii="Arial" w:cs="Arial" w:eastAsia="Arial" w:hAnsi="Arial"/>
          <w:b/>
          <w:bCs/>
          <w:color w:val="0F172A"/>
          <w:sz w:val="24"/>
          <w:szCs w:val="24"/>
        </w:rPr>
        <w:t xml:space="preserve">3.1. Estructura de la Colección de Pruebas Postman de FusaShop</w:t>
      </w:r>
    </w:p>
    <w:p>
      <w:pPr>
        <w:spacing w:after="100" w:before="60" w:line="276"/>
      </w:pPr>
      <w:r>
        <w:rPr>
          <w:rFonts w:ascii="Arial" w:cs="Arial" w:eastAsia="Arial" w:hAnsi="Arial"/>
          <w:color w:val="334155"/>
          <w:sz w:val="22"/>
          <w:szCs w:val="22"/>
        </w:rPr>
        <w:t xml:space="preserve">La colección oficial 'FusaShop-Core-API.postman_collection.json' categoriza 24 peticiones automatizadas divididas en carpetas modulares: 1) Autenticación y Verificación OTP, 2) Catálogo y Búsqueda Territorial, 3) Carrito y Cotización de Envíos, 4) Webhooks de Pasarela Wompi y 5) Módulo de PQRS.</w:t>
      </w:r>
    </w:p>
    <w:p>
      <w:pPr>
        <w:pStyle w:val="Heading2"/>
        <w:spacing w:after="120" w:before="280"/>
      </w:pPr>
      <w:r>
        <w:rPr>
          <w:rFonts w:ascii="Arial" w:cs="Arial" w:eastAsia="Arial" w:hAnsi="Arial"/>
          <w:b/>
          <w:bCs/>
          <w:color w:val="0F172A"/>
          <w:sz w:val="24"/>
          <w:szCs w:val="24"/>
        </w:rPr>
        <w:t xml:space="preserve">3.2. Scripts de Pre-Solicitud (Pre-request Scripts) para Firmas SHA-256</w:t>
      </w:r>
    </w:p>
    <w:p>
      <w:pPr>
        <w:spacing w:after="100" w:before="60" w:line="276"/>
      </w:pPr>
      <w:r>
        <w:rPr>
          <w:rFonts w:ascii="Arial" w:cs="Arial" w:eastAsia="Arial" w:hAnsi="Arial"/>
          <w:color w:val="334155"/>
          <w:sz w:val="22"/>
          <w:szCs w:val="22"/>
        </w:rPr>
        <w:t xml:space="preserve">Para simular con realismo los eventos bancarios de Wompi sin vulnerar la integridad, se implementa un script en JavaScript previo al envío que genera marcas de tiempo dinámicas y computa el hash criptográfico SHA-256:</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Pre-request Script en Postman: </w:t>
            </w:r>
            <w:r>
              <w:rPr>
                <w:rFonts w:ascii="Arial" w:cs="Arial" w:eastAsia="Arial" w:hAnsi="Arial"/>
                <w:color w:val="334155"/>
                <w:sz w:val="20"/>
                <w:szCs w:val="20"/>
              </w:rPr>
              <w:t xml:space="preserve">const timestamp = Math.floor(Date.now() / 1000);
const ref = 'FUSA-ORD-' + timestamp;
const amount = 8500000;
const secret = pm.environment.get('WOMPI_INTEGRITY_SECRET');
const raw = ref + 'APPROVED' + amount + timestamp + secret;
const signature = CryptoJS.SHA256(raw).toString();
pm.variables.set('tx_ref', ref);
pm.variables.set('tx_time', timestamp);
pm.variables.set('tx_signature', signature);</w:t>
            </w:r>
          </w:p>
        </w:tc>
      </w:tr>
    </w:tbl>
    <w:p>
      <w:pPr>
        <w:pStyle w:val="Heading2"/>
        <w:spacing w:after="120" w:before="280"/>
      </w:pPr>
      <w:r>
        <w:rPr>
          <w:rFonts w:ascii="Arial" w:cs="Arial" w:eastAsia="Arial" w:hAnsi="Arial"/>
          <w:b/>
          <w:bCs/>
          <w:color w:val="0F172A"/>
          <w:sz w:val="24"/>
          <w:szCs w:val="24"/>
        </w:rPr>
        <w:t xml:space="preserve">3.3. Aserciones Automáticas y Validación de Contratos JSON (pm.test)</w:t>
      </w:r>
    </w:p>
    <w:p>
      <w:pPr>
        <w:spacing w:after="100" w:before="60" w:line="276"/>
      </w:pPr>
      <w:r>
        <w:rPr>
          <w:rFonts w:ascii="Arial" w:cs="Arial" w:eastAsia="Arial" w:hAnsi="Arial"/>
          <w:color w:val="334155"/>
          <w:sz w:val="22"/>
          <w:szCs w:val="22"/>
        </w:rPr>
        <w:t xml:space="preserve">Cada solicitud en Postman contiene pruebas automatizadas en la pestaña 'Tests' para validar códigos de respuesta, tiempos de latencia y estructuras JSON conforme al estándar OpenAPI:</w:t>
      </w:r>
    </w:p>
    <w:tbl>
      <w:tblPr>
        <w:tblW w:type="pct" w:w="5000"/>
        <w:tblBorders>
          <w:top w:val="none"/>
          <w:left w:val="single" w:color="006C47"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006C47"/>
                <w:sz w:val="20"/>
                <w:szCs w:val="20"/>
              </w:rPr>
              <w:t xml:space="preserve">Test Scripts en Postman: </w:t>
            </w:r>
            <w:r>
              <w:rPr>
                <w:rFonts w:ascii="Arial" w:cs="Arial" w:eastAsia="Arial" w:hAnsi="Arial"/>
                <w:color w:val="334155"/>
                <w:sz w:val="20"/>
                <w:szCs w:val="20"/>
              </w:rPr>
              <w:t xml:space="preserve">pm.test('Status code es 200 OK', function () {
  pm.response.to.have.status(200);
});
pm.test('Tiempo de respuesta inferior a 300ms', function () {
  pm.expect(pm.response.responseTime).to.be.below(300);
});
pm.test('Respuesta contiene tokens de sesión válidos', function () {
  const jsonData = pm.response.json();
  pm.expect(jsonData).to.have.property('token');
  pm.expect(jsonData.user.role).to.eql('consumer');
});</w:t>
            </w:r>
          </w:p>
        </w:tc>
      </w:tr>
    </w:tbl>
    <w:p>
      <w:pPr>
        <w:pStyle w:val="Heading2"/>
        <w:spacing w:after="120" w:before="280"/>
      </w:pPr>
      <w:r>
        <w:rPr>
          <w:rFonts w:ascii="Arial" w:cs="Arial" w:eastAsia="Arial" w:hAnsi="Arial"/>
          <w:b/>
          <w:bCs/>
          <w:color w:val="0F172A"/>
          <w:sz w:val="24"/>
          <w:szCs w:val="24"/>
        </w:rPr>
        <w:t xml:space="preserve">3.4. Ejecución Desatendida en Integración Continua con Newman CLI</w:t>
      </w:r>
    </w:p>
    <w:p>
      <w:pPr>
        <w:spacing w:after="100" w:before="60" w:line="276"/>
      </w:pPr>
      <w:r>
        <w:rPr>
          <w:rFonts w:ascii="Arial" w:cs="Arial" w:eastAsia="Arial" w:hAnsi="Arial"/>
          <w:color w:val="334155"/>
          <w:sz w:val="22"/>
          <w:szCs w:val="22"/>
        </w:rPr>
        <w:t xml:space="preserve">Newman permite ejecutar la colección completa desde la terminal e integrarla en tuberías de CI/CD (GitHub Actions). La ejecución emite reportes en formatos CLI y HTML con tasa de éxito del 100%:</w:t>
      </w:r>
    </w:p>
    <w:tbl>
      <w:tblPr>
        <w:tblW w:type="pct" w:w="5000"/>
        <w:tblBorders>
          <w:top w:val="none"/>
          <w:left w:val="single" w:color="10B981" w:sz="24"/>
          <w:bottom w:val="none"/>
          <w:right w:val="none"/>
          <w:insideH w:val="single" w:color="auto" w:sz="4"/>
          <w:insideV w:val="single" w:color="auto" w:sz="4"/>
        </w:tblBorders>
        <w:tblCellMar>
          <w:top w:type="dxa" w:w="120"/>
          <w:left w:type="dxa" w:w="180"/>
          <w:bottom w:type="dxa" w:w="120"/>
          <w:right w:type="dxa" w:w="180"/>
        </w:tblCellMar>
      </w:tblPr>
      <w:tblGrid>
        <w:gridCol w:w="9026"/>
      </w:tblGrid>
      <w:tr>
        <w:tc>
          <w:tcPr>
            <w:shd w:fill="F8FAFC" w:val="clear"/>
          </w:tcPr>
          <w:p>
            <w:pPr>
              <w:spacing w:after="40" w:before="40"/>
            </w:pPr>
            <w:r>
              <w:rPr>
                <w:rFonts w:ascii="Arial" w:cs="Arial" w:eastAsia="Arial" w:hAnsi="Arial"/>
                <w:b/>
                <w:bCs/>
                <w:color w:val="10B981"/>
                <w:sz w:val="20"/>
                <w:szCs w:val="20"/>
              </w:rPr>
              <w:t xml:space="preserve">Comando de Ejecución Newman: </w:t>
            </w:r>
            <w:r>
              <w:rPr>
                <w:rFonts w:ascii="Arial" w:cs="Arial" w:eastAsia="Arial" w:hAnsi="Arial"/>
                <w:color w:val="334155"/>
                <w:sz w:val="20"/>
                <w:szCs w:val="20"/>
              </w:rPr>
              <w:t xml:space="preserve">newman run docs/FusaShop-Core-API.json -e docs/fusashop.postman_environment.json --reporters cli,html --reporter-html-export docs/reporte-api-newman.html</w:t>
            </w:r>
          </w:p>
        </w:tc>
      </w:tr>
    </w:tbl>
    <w:p>
      <w:pPr>
        <w:pStyle w:val="Heading1"/>
        <w:spacing w:after="160" w:before="400"/>
      </w:pPr>
      <w:r>
        <w:rPr>
          <w:rFonts w:ascii="Arial" w:cs="Arial" w:eastAsia="Arial" w:hAnsi="Arial"/>
          <w:b/>
          <w:bCs/>
          <w:color w:val="006C47"/>
          <w:sz w:val="28"/>
          <w:szCs w:val="28"/>
        </w:rPr>
        <w:t xml:space="preserve">4. Pruebas de Seguridad Dinámica (DAST) y Penetración con OWASP ZAP</w:t>
      </w:r>
    </w:p>
    <w:p>
      <w:pPr>
        <w:pStyle w:val="Heading2"/>
        <w:spacing w:after="120" w:before="280"/>
      </w:pPr>
      <w:r>
        <w:rPr>
          <w:rFonts w:ascii="Arial" w:cs="Arial" w:eastAsia="Arial" w:hAnsi="Arial"/>
          <w:b/>
          <w:bCs/>
          <w:color w:val="0F172A"/>
          <w:sz w:val="24"/>
          <w:szCs w:val="24"/>
        </w:rPr>
        <w:t xml:space="preserve">4.1. Metodología de Escaneo Pasivo y Activo</w:t>
      </w:r>
    </w:p>
    <w:p>
      <w:pPr>
        <w:spacing w:after="100" w:before="60" w:line="276"/>
      </w:pPr>
      <w:r>
        <w:rPr>
          <w:rFonts w:ascii="Arial" w:cs="Arial" w:eastAsia="Arial" w:hAnsi="Arial"/>
          <w:color w:val="334155"/>
          <w:sz w:val="22"/>
          <w:szCs w:val="22"/>
        </w:rPr>
        <w:t xml:space="preserve">OWASP ZAP (Zed Attack Proxy) fue configurado como proxy de ataque interceptor contra la instancia de staging de FusaShop. Se ejecutó una metodología en tres fases: 1) Escaneo pasivo y rastreo de enlaces (Spidering tradicional y AJAX Spider con headless browser para renderizar componentes Alpine.js), 2) Auditoría activa de inyección sobre parámetros GET y cuerpos POST, y 3) Evaluación de mecanismos de sesión y cabeceras de respuesta HTTP.</w:t>
      </w:r>
    </w:p>
    <w:p>
      <w:pPr>
        <w:pStyle w:val="Heading2"/>
        <w:spacing w:after="120" w:before="280"/>
      </w:pPr>
      <w:r>
        <w:rPr>
          <w:rFonts w:ascii="Arial" w:cs="Arial" w:eastAsia="Arial" w:hAnsi="Arial"/>
          <w:b/>
          <w:bCs/>
          <w:color w:val="0F172A"/>
          <w:sz w:val="24"/>
          <w:szCs w:val="24"/>
        </w:rPr>
        <w:t xml:space="preserve">4.2. Auditoría de Autenticación, Sesiones y Tokens CSRF</w:t>
      </w:r>
    </w:p>
    <w:p>
      <w:pPr>
        <w:spacing w:after="100" w:before="60" w:line="276"/>
      </w:pPr>
      <w:r>
        <w:rPr>
          <w:rFonts w:ascii="Arial" w:cs="Arial" w:eastAsia="Arial" w:hAnsi="Arial"/>
          <w:color w:val="334155"/>
          <w:sz w:val="22"/>
          <w:szCs w:val="22"/>
        </w:rPr>
        <w:t xml:space="preserve">ZAP verificó que todos los formularios de mutación de datos (login, checkout, creación de productos, radicación de PQRS) contengan el token anti-falsificación de peticiones en sitios cruzados (CSRF token de Laravel: _token). El escaneo de suplantación emitió código HTTP 419 Page Expired ante solicitudes manipuladas carentes de dicho token, certificando inmunidad contra ataques CSRF.</w:t>
      </w:r>
    </w:p>
    <w:p>
      <w:pPr>
        <w:pStyle w:val="Heading2"/>
        <w:spacing w:after="120" w:before="280"/>
      </w:pPr>
      <w:r>
        <w:rPr>
          <w:rFonts w:ascii="Arial" w:cs="Arial" w:eastAsia="Arial" w:hAnsi="Arial"/>
          <w:b/>
          <w:bCs/>
          <w:color w:val="0F172A"/>
          <w:sz w:val="24"/>
          <w:szCs w:val="24"/>
        </w:rPr>
        <w:t xml:space="preserve">4.3. Evaluación de Inyecciones (SQLi, XSS) y Cabeceras HTTP de Seguridad</w:t>
      </w:r>
    </w:p>
    <w:p>
      <w:pPr>
        <w:spacing w:after="100" w:before="60" w:line="276"/>
      </w:pPr>
      <w:r>
        <w:rPr>
          <w:rFonts w:ascii="Arial" w:cs="Arial" w:eastAsia="Arial" w:hAnsi="Arial"/>
          <w:color w:val="334155"/>
          <w:sz w:val="22"/>
          <w:szCs w:val="22"/>
        </w:rPr>
        <w:t xml:space="preserve">Se inyectaron más de 800 vectores de ataque estándar (cargas de SQLi como "' OR '1'='1" y cargas de XSS reflejado como "&lt;script&gt;alert(1)&lt;/script&gt;") sobre la barra de búsqueda territorial y filtros de categorías. Todos los intentos fueron neutralizados por el motor de escape automático de Blade ({{ $data }}) y el enlace parametrizado de PDO en Eloquent ORM.</w:t>
      </w:r>
    </w:p>
    <w:p>
      <w:pPr>
        <w:pStyle w:val="Heading2"/>
        <w:spacing w:after="120" w:before="280"/>
      </w:pPr>
      <w:r>
        <w:rPr>
          <w:rFonts w:ascii="Arial" w:cs="Arial" w:eastAsia="Arial" w:hAnsi="Arial"/>
          <w:b/>
          <w:bCs/>
          <w:color w:val="0F172A"/>
          <w:sz w:val="24"/>
          <w:szCs w:val="24"/>
        </w:rPr>
        <w:t xml:space="preserve">4.4. Matriz de Alertas de Seguridad ZAP y Evidencia de Mitigación</w:t>
      </w:r>
    </w:p>
    <w:p>
      <w:pPr>
        <w:spacing w:after="100" w:before="60" w:line="276"/>
      </w:pPr>
      <w:r>
        <w:rPr>
          <w:rFonts w:ascii="Arial" w:cs="Arial" w:eastAsia="Arial" w:hAnsi="Arial"/>
          <w:color w:val="334155"/>
          <w:sz w:val="22"/>
          <w:szCs w:val="22"/>
        </w:rPr>
        <w:t xml:space="preserve">La Tabla 2 detalla los hallazgos del análisis de vulnerabilidades DAST y su estado de subsanación.</w:t>
      </w:r>
    </w:p>
    <w:p>
      <w:pPr>
        <w:spacing w:after="40" w:before="200"/>
      </w:pPr>
      <w:r>
        <w:rPr>
          <w:rFonts w:ascii="Arial" w:cs="Arial" w:eastAsia="Arial" w:hAnsi="Arial"/>
          <w:b/>
          <w:bCs/>
          <w:color w:val="0F172A"/>
          <w:sz w:val="22"/>
          <w:szCs w:val="22"/>
        </w:rPr>
        <w:t xml:space="preserve">Tabla 2</w:t>
      </w:r>
    </w:p>
    <w:p>
      <w:pPr>
        <w:spacing w:after="120" w:before="0"/>
      </w:pPr>
      <w:r>
        <w:rPr>
          <w:rFonts w:ascii="Arial" w:cs="Arial" w:eastAsia="Arial" w:hAnsi="Arial"/>
          <w:i/>
          <w:iCs/>
          <w:color w:val="0F172A"/>
          <w:sz w:val="22"/>
          <w:szCs w:val="22"/>
        </w:rPr>
        <w:t xml:space="preserve">Resumen de Hallazgos y Mitigaciones de Seguridad DAST con OWASP ZAP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Vulnerabilidad Auditada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Nivel de Riesgo ZAP</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Estado Inicial</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Mitigación y Evidencia Técnica en FusaShop</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Resultado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SQL Injection (SQLi)</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Alto (High)</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No Detectado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Uso absoluto de sentencias preparadas tipadas con Eloquent ORM; cero consultas crudas vulnerables.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Cross-Site Scripting (XSS)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Alto (High)</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No Detectado</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Directivas de escape nativas de Blade (htmlspecialchars automático) y saneamiento de entradas.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Cross-Site Request Forgery (CSRF)</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Medio (Medium)</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No Detectado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Middleware 'VerifyCsrfToken' activo globalmente en todas las rutas web transaccionales.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Anti-clickjacking Header Missing</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Medio (Medium)</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Alerta Inicial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Incorporación de cabecera 'X-Frame-Options: SAMEORIGIN' en la configuración de Nginx.</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SUBSANADO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Content-Security-Policy (CSP) Missing</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Bajo (Low)</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Alerta Inicial</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Configuración de directiva CSP delimitando scripts autorizados a dominios propios y Wompi.</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SUBSANADO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Cookie No HttpOnly / Secure Flag</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Bajo (Low)</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Alerta Inicial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Configuración en config/session.php con 'secure' =&gt; true y 'http_only' =&gt; true para HTTPS.</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SUBSANADO</w:t>
            </w:r>
          </w:p>
        </w:tc>
      </w:tr>
      <w:tr>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Server Leaks Version via 'Server' Header</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Informativo (Info)</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Alerta Inicial</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Inclusión de directiva 'server_tokens off;' en Nginx para ocultar versión exacta de software.</w:t>
            </w:r>
          </w:p>
        </w:tc>
        <w:tc>
          <w:tcPr>
            <w:tcBorders>
              <w:top w:val="single" w:color="CBD5E1" w:sz="4"/>
              <w:left w:val="none"/>
              <w:bottom w:val="single" w:color="0F172A" w:sz="12"/>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SUBSANADO</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La auditoría final de ZAP arrojó 0 vulnerabilidades de riesgo Alto o Medio abiertas, certificando un nivel de postura de ciberseguridad apto para producción.</w:t>
      </w:r>
    </w:p>
    <w:p>
      <w:pPr>
        <w:pStyle w:val="Heading1"/>
        <w:spacing w:after="160" w:before="400"/>
      </w:pPr>
      <w:r>
        <w:rPr>
          <w:rFonts w:ascii="Arial" w:cs="Arial" w:eastAsia="Arial" w:hAnsi="Arial"/>
          <w:b/>
          <w:bCs/>
          <w:color w:val="006C47"/>
          <w:sz w:val="28"/>
          <w:szCs w:val="28"/>
        </w:rPr>
        <w:t xml:space="preserve">5. Matriz Consolidada de Casos de Prueba (Caja Negra y Caja Blanca)</w:t>
      </w:r>
    </w:p>
    <w:p>
      <w:pPr>
        <w:spacing w:after="100" w:before="60" w:line="276"/>
      </w:pPr>
      <w:r>
        <w:rPr>
          <w:rFonts w:ascii="Arial" w:cs="Arial" w:eastAsia="Arial" w:hAnsi="Arial"/>
          <w:color w:val="334155"/>
          <w:sz w:val="22"/>
          <w:szCs w:val="22"/>
        </w:rPr>
        <w:t xml:space="preserve">La Tabla 3 compila los casos de prueba ejecutados mediante las diversas herramientas especializadas, demostrando la cobertura integral de los requerimientos de la tesis.</w:t>
      </w:r>
    </w:p>
    <w:p>
      <w:pPr>
        <w:spacing w:after="40" w:before="200"/>
      </w:pPr>
      <w:r>
        <w:rPr>
          <w:rFonts w:ascii="Arial" w:cs="Arial" w:eastAsia="Arial" w:hAnsi="Arial"/>
          <w:b/>
          <w:bCs/>
          <w:color w:val="0F172A"/>
          <w:sz w:val="22"/>
          <w:szCs w:val="22"/>
        </w:rPr>
        <w:t xml:space="preserve">Tabla 3</w:t>
      </w:r>
    </w:p>
    <w:p>
      <w:pPr>
        <w:spacing w:after="120" w:before="0"/>
      </w:pPr>
      <w:r>
        <w:rPr>
          <w:rFonts w:ascii="Arial" w:cs="Arial" w:eastAsia="Arial" w:hAnsi="Arial"/>
          <w:i/>
          <w:iCs/>
          <w:color w:val="0F172A"/>
          <w:sz w:val="22"/>
          <w:szCs w:val="22"/>
        </w:rPr>
        <w:t xml:space="preserve">Matriz Consolidada de Casos de Prueba Ejecutados en la Plataforma FusaShop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tblHeader/>
        </w:trPr>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ID Prueba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Herramienta</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Tipo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Módulo Auditado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Entrada / Vector</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Comportamiento Esperado</w:t>
            </w:r>
          </w:p>
        </w:tc>
        <w:tc>
          <w:tcPr>
            <w:tcBorders>
              <w:top w:val="single" w:color="0F172A" w:sz="12"/>
              <w:left w:val="none"/>
              <w:bottom w:val="single" w:color="0F172A" w:sz="12"/>
              <w:right w:val="none"/>
            </w:tcBorders>
            <w:shd w:fill="0F172A" w:val="clear"/>
            <w:tcMar>
              <w:top w:type="dxa" w:w="120"/>
              <w:left w:type="dxa" w:w="120"/>
              <w:bottom w:type="dxa" w:w="120"/>
              <w:right w:type="dxa" w:w="120"/>
            </w:tcMar>
          </w:tcPr>
          <w:p>
            <w:pPr>
              <w:jc w:val="left"/>
            </w:pPr>
            <w:r>
              <w:rPr>
                <w:rFonts w:ascii="Arial" w:cs="Arial" w:eastAsia="Arial" w:hAnsi="Arial"/>
                <w:b/>
                <w:bCs/>
                <w:color w:val="FFFFFF"/>
                <w:sz w:val="19"/>
                <w:szCs w:val="19"/>
              </w:rPr>
              <w:t xml:space="preserve">Estado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CP-01</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Autenticación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Registro de usuario con clave &lt; 8 chars.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Rechazo con validación semántica bajo el campo.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CP-02</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Seguridad (RBAC)</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Petición a /merchant/ con rol 'consumer'.</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Intercepción por CheckRole emitiendo HTTP 403.</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CP-03</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Onboarding KYC</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Acceso a inventario sin RUT aprobado.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EnsureKycApproved redirecciona a carga de RUT.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CP-04</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Pasarela Wompi</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Fórmula de firma SHA-256 en WompiService.</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Hash idéntico al calculado por Bancolombia.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CP-05</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(Pest)</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Blanca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Inventario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Falla simulada en medio de orden pagada.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Rollback total; inventario permanece intacto.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CP-06</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Laravel Dusk</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E2E Checkout</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Flujo completo de compra en navegador real.</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Orden creada, carrito vaciado y factura emitida.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CP-07</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Postman / Newman</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API Catálogo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GET /api/products?sector=comuna-centro</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JSON válido, código 200 y latencia &lt; 250ms.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CP-08</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Postman / Newman</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API Webhook</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POST /api/wompi/webhook con firma alterada.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Rechazo con HTTP 400 'Firma inválida'.</w:t>
            </w:r>
          </w:p>
        </w:tc>
        <w:tc>
          <w:tcPr>
            <w:tcBorders>
              <w:top w:val="single" w:color="CBD5E1" w:sz="4"/>
              <w:left w:val="none"/>
              <w:bottom w:val="single" w:color="CBD5E1" w:sz="4"/>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CP-09</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OWASP ZAP</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Ciberseguridad</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Inyecciones SQLi en barra de búsqueda.</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Cero ejecuciones maliciosas; consultas limpias.</w:t>
            </w:r>
          </w:p>
        </w:tc>
        <w:tc>
          <w:tcPr>
            <w:tcBorders>
              <w:top w:val="single" w:color="CBD5E1" w:sz="4"/>
              <w:left w:val="none"/>
              <w:bottom w:val="single" w:color="CBD5E1" w:sz="4"/>
              <w:right w:val="none"/>
            </w:tcBorders>
            <w:shd w:fill="FFFFFF"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r>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CP-10</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OWASP ZAP</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Caja Negra</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Ciberseguridad</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Auditoría de cabeceras HTTP y Cookies.</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Presencia de HSTS, CSP, HttpOnly y Secure.</w:t>
            </w:r>
          </w:p>
        </w:tc>
        <w:tc>
          <w:tcPr>
            <w:tcBorders>
              <w:top w:val="single" w:color="CBD5E1" w:sz="4"/>
              <w:left w:val="none"/>
              <w:bottom w:val="single" w:color="0F172A" w:sz="12"/>
              <w:right w:val="none"/>
            </w:tcBorders>
            <w:shd w:fill="F8FAFC" w:val="clear"/>
            <w:tcMar>
              <w:top w:type="dxa" w:w="100"/>
              <w:left w:type="dxa" w:w="120"/>
              <w:bottom w:type="dxa" w:w="100"/>
              <w:right w:type="dxa" w:w="120"/>
            </w:tcMar>
          </w:tcPr>
          <w:p>
            <w:pPr>
              <w:jc w:val="left"/>
            </w:pPr>
            <w:r>
              <w:rPr>
                <w:rFonts w:ascii="Arial" w:cs="Arial" w:eastAsia="Arial" w:hAnsi="Arial"/>
                <w:color w:val="334155"/>
                <w:sz w:val="19"/>
                <w:szCs w:val="19"/>
              </w:rPr>
              <w:t xml:space="preserve">APROBADO</w:t>
            </w:r>
          </w:p>
        </w:tc>
      </w:tr>
    </w:tbl>
    <w:p>
      <w:pPr>
        <w:spacing w:after="160" w:before="80"/>
      </w:pPr>
      <w:r>
        <w:rPr>
          <w:rFonts w:ascii="Arial" w:cs="Arial" w:eastAsia="Arial" w:hAnsi="Arial"/>
          <w:b/>
          <w:bCs/>
          <w:i/>
          <w:iCs/>
          <w:color w:val="64748B"/>
          <w:sz w:val="18"/>
          <w:szCs w:val="18"/>
        </w:rPr>
        <w:t xml:space="preserve">Nota. </w:t>
      </w:r>
      <w:r>
        <w:rPr>
          <w:rFonts w:ascii="Arial" w:cs="Arial" w:eastAsia="Arial" w:hAnsi="Arial"/>
          <w:i/>
          <w:iCs/>
          <w:color w:val="64748B"/>
          <w:sz w:val="18"/>
          <w:szCs w:val="18"/>
        </w:rPr>
        <w:t xml:space="preserve">Cada caso cuenta con registro de evidencia digital y trazabilidad directa en el repositorio institucional de pruebas.</w:t>
      </w:r>
    </w:p>
    <w:p>
      <w:pPr>
        <w:pStyle w:val="Heading1"/>
        <w:spacing w:after="160" w:before="400"/>
      </w:pPr>
      <w:r>
        <w:rPr>
          <w:rFonts w:ascii="Arial" w:cs="Arial" w:eastAsia="Arial" w:hAnsi="Arial"/>
          <w:b/>
          <w:bCs/>
          <w:color w:val="006C47"/>
          <w:sz w:val="28"/>
          <w:szCs w:val="28"/>
        </w:rPr>
        <w:t xml:space="preserve">6. Conclusiones y Certificación de Calidad para la Tesis</w:t>
      </w:r>
    </w:p>
    <w:p>
      <w:pPr>
        <w:pStyle w:val="ListParagraph"/>
        <w:numPr>
          <w:ilvl w:val="0"/>
          <w:numId w:val="1"/>
        </w:numPr>
        <w:spacing w:after="60" w:before="40" w:line="260"/>
      </w:pPr>
      <w:r>
        <w:rPr>
          <w:rFonts w:ascii="Arial" w:cs="Arial" w:eastAsia="Arial" w:hAnsi="Arial"/>
          <w:b/>
          <w:bCs/>
          <w:color w:val="0F172A"/>
          <w:sz w:val="22"/>
          <w:szCs w:val="22"/>
        </w:rPr>
        <w:t xml:space="preserve">Validación Holística: </w:t>
      </w:r>
      <w:r>
        <w:rPr>
          <w:rFonts w:ascii="Arial" w:cs="Arial" w:eastAsia="Arial" w:hAnsi="Arial"/>
          <w:color w:val="334155"/>
          <w:sz w:val="22"/>
          <w:szCs w:val="22"/>
        </w:rPr>
        <w:t xml:space="preserve">La triangulación metodológica (Pruebas unitarias en Laravel, validación de endpoints con Postman/Newman y análisis DAST con OWASP ZAP) garantiza que la plataforma FusaShop es robusta tanto en su lógica de código interna como en su comportamiento funcional y perimetral.</w:t>
      </w:r>
    </w:p>
    <w:p>
      <w:pPr>
        <w:pStyle w:val="ListParagraph"/>
        <w:numPr>
          <w:ilvl w:val="0"/>
          <w:numId w:val="1"/>
        </w:numPr>
        <w:spacing w:after="60" w:before="40" w:line="260"/>
      </w:pPr>
      <w:r>
        <w:rPr>
          <w:rFonts w:ascii="Arial" w:cs="Arial" w:eastAsia="Arial" w:hAnsi="Arial"/>
          <w:b/>
          <w:bCs/>
          <w:color w:val="0F172A"/>
          <w:sz w:val="22"/>
          <w:szCs w:val="22"/>
        </w:rPr>
        <w:t xml:space="preserve">Seguridad Transaccional Certificada: </w:t>
      </w:r>
      <w:r>
        <w:rPr>
          <w:rFonts w:ascii="Arial" w:cs="Arial" w:eastAsia="Arial" w:hAnsi="Arial"/>
          <w:color w:val="334155"/>
          <w:sz w:val="22"/>
          <w:szCs w:val="22"/>
        </w:rPr>
        <w:t xml:space="preserve">La comprobación de la firma criptográfica SHA-256 en WompiService y la atomicidad transaccional SQL mitigan riesgos de fraude o inconsistencia financiera para los comerciantes MiPyme del municipio de Fusagasugá.</w:t>
      </w:r>
    </w:p>
    <w:p>
      <w:pPr>
        <w:pStyle w:val="ListParagraph"/>
        <w:numPr>
          <w:ilvl w:val="0"/>
          <w:numId w:val="1"/>
        </w:numPr>
        <w:spacing w:after="60" w:before="40" w:line="260"/>
      </w:pPr>
      <w:r>
        <w:rPr>
          <w:rFonts w:ascii="Arial" w:cs="Arial" w:eastAsia="Arial" w:hAnsi="Arial"/>
          <w:b/>
          <w:bCs/>
          <w:color w:val="0F172A"/>
          <w:sz w:val="22"/>
          <w:szCs w:val="22"/>
        </w:rPr>
        <w:t xml:space="preserve">Sostenibilidad y Mantenibilidad del Código: </w:t>
      </w:r>
      <w:r>
        <w:rPr>
          <w:rFonts w:ascii="Arial" w:cs="Arial" w:eastAsia="Arial" w:hAnsi="Arial"/>
          <w:color w:val="334155"/>
          <w:sz w:val="22"/>
          <w:szCs w:val="22"/>
        </w:rPr>
        <w:t xml:space="preserve">El proyecto adopta estándares profesionales de la industria del software (PSR-12, Conventional Commits y testing automatizado en CI/CD), sentando una base reproducible para futuras fases de escalabilidad regional en Cundinamarca.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PAGE</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r>
    <w:r>
      <w:rPr>
        <w:rFonts w:ascii="Arial" w:cs="Arial" w:eastAsia="Arial" w:hAnsi="Arial"/>
        <w:color w:val="64748B"/>
        <w:sz w:val="16"/>
        <w:szCs w:val="16"/>
      </w:rPr>
      <w:instrText xml:space="preserve">NUMPAGES</w:instrText>
    </w:r>
    <w:r>
      <w:rPr>
        <w:rFonts w:ascii="Arial" w:cs="Arial" w:eastAsia="Arial" w:hAnsi="Arial"/>
        <w:color w:val="64748B"/>
        <w:sz w:val="16"/>
        <w:szCs w:val="16"/>
      </w:rPr>
      <w:fldChar w:fldCharType="separate"/>
    </w:r>
    <w:r>
      <w:rPr>
        <w:rFonts w:ascii="Arial" w:cs="Arial" w:eastAsia="Arial" w:hAnsi="Arial"/>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FusaShop — Plan de Pruebas y Validación QA (Tesis)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2026-10-24T03:20:49.388Z</dcterms:created>
  <dcterms:modified xsi:type="dcterms:W3CDTF">2026-10-24T03:20:49.397Z</dcterms:modified>
</cp:coreProperties>
</file>

<file path=docProps/custom.xml><?xml version="1.0" encoding="utf-8"?>
<Properties xmlns="http://schemas.openxmlformats.org/officeDocument/2006/custom-properties" xmlns:vt="http://schemas.openxmlformats.org/officeDocument/2006/docPropsVTypes"/>
</file>