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40" w:line="480" w:lineRule="auto"/>
        <w:jc w:val="center"/>
      </w:pPr>
      <w:r>
        <w:rPr>
          <w:rFonts w:ascii="Times New Roman" w:hAnsi="Times New Roman"/>
          <w:b/>
          <w:color w:val="000000"/>
          <w:sz w:val="36"/>
        </w:rPr>
        <w:t>Manual técnico de FusaShop</w:t>
      </w:r>
    </w:p>
    <w:p>
      <w:pPr>
        <w:spacing w:line="480" w:lineRule="auto"/>
        <w:jc w:val="center"/>
      </w:pPr>
      <w:r>
        <w:rPr>
          <w:rFonts w:ascii="Times New Roman" w:hAnsi="Times New Roman"/>
          <w:color w:val="1F2937"/>
          <w:sz w:val="24"/>
        </w:rPr>
        <w:t>Modelo de datos seguridad rendimiento y operaciones</w:t>
      </w:r>
    </w:p>
    <w:p>
      <w:pPr>
        <w:spacing w:line="480" w:lineRule="auto"/>
        <w:jc w:val="center"/>
      </w:pPr>
      <w:r>
        <w:t>FusaShop</w:t>
      </w:r>
    </w:p>
    <w:p>
      <w:pPr>
        <w:spacing w:line="480" w:lineRule="auto"/>
        <w:jc w:val="center"/>
      </w:pPr>
      <w:r>
        <w:t>Guía elaborada a partir de la documentación pública del repositorio</w:t>
      </w:r>
    </w:p>
    <w:p>
      <w:pPr>
        <w:spacing w:line="480" w:lineRule="auto"/>
        <w:jc w:val="center"/>
      </w:pPr>
      <w:r>
        <w:t>Fusagasugá, Colombia</w:t>
      </w:r>
    </w:p>
    <w:p>
      <w:pPr>
        <w:spacing w:line="480" w:lineRule="auto"/>
        <w:jc w:val="center"/>
      </w:pPr>
      <w:r>
        <w:t>23 de octubre de 2026</w:t>
      </w:r>
    </w:p>
    <w:p>
      <w:r>
        <w:br w:type="page"/>
      </w:r>
    </w:p>
    <w:p>
      <w:pPr>
        <w:pStyle w:val="Heading1"/>
        <w:jc w:val="center"/>
      </w:pPr>
      <w:r>
        <w:t>Introducción</w:t>
      </w:r>
    </w:p>
    <w:p>
      <w:pPr>
        <w:spacing w:line="480" w:lineRule="auto"/>
        <w:ind w:firstLine="720"/>
      </w:pPr>
      <w:r>
        <w:t>Este manual reúne la vista técnica del modelo de datos, las máquinas de estado, la seguridad, la resiliencia y el despliegue de FusaShop. Está dirigido a personal técnico y de operaciones. Los parámetros son los publicados en la documentación consultada y deben verificarse contra el entorno real antes de usarlos en producción.</w:t>
      </w:r>
    </w:p>
    <w:p>
      <w:pPr>
        <w:spacing w:line="480" w:lineRule="auto"/>
        <w:ind w:firstLine="720"/>
      </w:pPr>
      <w:r>
        <w:rPr>
          <w:b/>
        </w:rPr>
        <w:t xml:space="preserve">Base documental. </w:t>
      </w:r>
      <w:r>
        <w:t>El contenido se organizó y parafraseó a partir de la documentación oficial pública de FusaShop. Las descripciones de funcionalidades, parámetros y políticas corresponden a lo publicado en las páginas consultadas y pueden cambiar con la versión desplegada (FusaShop, s. f.).</w:t>
      </w:r>
    </w:p>
    <w:p>
      <w:pPr>
        <w:pStyle w:val="Heading1"/>
      </w:pPr>
      <w:r>
        <w:t>1. Arquitectura técnica</w:t>
      </w:r>
    </w:p>
    <w:p>
      <w:pPr>
        <w:keepLines/>
        <w:spacing w:line="480" w:lineRule="auto"/>
        <w:ind w:firstLine="720"/>
      </w:pPr>
      <w:r>
        <w:t>La arquitectura separa presentación, entrada HTTP, aplicación, servicios de dominio, ejecución asíncrona y persistencia. Los controladores coordinan las peticiones; servicios como checkout, inventario, pagos, envíos y facturación encapsulan reglas de negocio. Las colas aíslan trabajos lentos y las transacciones protegen operaciones que afectan órdenes, pagos o existencias.</w:t>
      </w:r>
    </w:p>
    <w:p>
      <w:pPr>
        <w:keepLines/>
        <w:spacing w:line="480" w:lineRule="auto"/>
        <w:ind w:firstLine="720"/>
      </w:pPr>
      <w:r>
        <w:t>La documentación refiere MariaDB/MySQL con InnoDB, caché de archivo o Redis y almacenamiento local o S3. Las decisiones concretas de infraestructura dependen del entorno desplegado y la configuración disponible.</w:t>
      </w:r>
    </w:p>
    <w:p>
      <w:pPr>
        <w:pStyle w:val="Heading1"/>
      </w:pPr>
      <w:r>
        <w:t>2. Modelo de datos</w:t>
      </w:r>
    </w:p>
    <w:p>
      <w:pPr>
        <w:keepLines/>
        <w:spacing w:line="480" w:lineRule="auto"/>
        <w:ind w:firstLine="720"/>
      </w:pPr>
      <w:r>
        <w:t>Entre las entidades centrales están usuarios, perfiles de comercio, productos, órdenes, pagos, reseñas y solicitudes promocionales. El perfil de comercio almacena identidad y estado de validación, además del tipo y titular del destino de liquidación. Las claves de acceso a pasarelas se consideran secretos y se almacenan cifradas.</w:t>
      </w:r>
    </w:p>
    <w:p>
      <w:pPr>
        <w:keepLines/>
        <w:spacing w:line="480" w:lineRule="auto"/>
        <w:ind w:firstLine="720"/>
      </w:pPr>
      <w:r>
        <w:t>La tabla de órdenes relaciona al comprador con el pedido y el comercio responsable cuando aplica. El modelo registra estado y datos de transacción y envío. Verifica claves foráneas, nulabilidad, índices y reglas de borrado en las migraciones vigentes; el diccionario web es una vista descriptiva, no reemplaza el esquema ejecutable.</w:t>
      </w:r>
    </w:p>
    <w:p>
      <w:pPr>
        <w:keepLines/>
        <w:spacing w:line="480" w:lineRule="auto"/>
        <w:ind w:firstLine="720"/>
      </w:pPr>
      <w:r>
        <w:t>Al alterar el modelo, crea una migración reversible cuando sea posible, define índices para las consultas frecuentes y preserva integridad referencial. Evita guardar datos de pago que no sean necesarios y aplica retención y acceso mínimo a datos personales.</w:t>
      </w:r>
    </w:p>
    <w:p>
      <w:pPr>
        <w:pStyle w:val="Heading1"/>
      </w:pPr>
      <w:r>
        <w:t>3. Máquina de estados e idempotencia</w:t>
      </w:r>
    </w:p>
    <w:p>
      <w:pPr>
        <w:keepLines/>
        <w:spacing w:line="480" w:lineRule="auto"/>
        <w:ind w:firstLine="720"/>
      </w:pPr>
      <w:r>
        <w:t>El ciclo documentado comprende una orden pendiente con inventario reservado, confirmación del pago, preparación, despacho y entrega. La reserva vence a los 30 minutos si no se confirma el pago; entonces se cancela la orden y se libera el inventario. Tras confirmación, el sistema confirma existencias y programa la guía y la factura. La entrega se actualiza con los eventos del proveedor.</w:t>
      </w:r>
    </w:p>
    <w:p>
      <w:pPr>
        <w:keepLines/>
        <w:spacing w:line="480" w:lineRule="auto"/>
        <w:ind w:firstLine="720"/>
      </w:pPr>
      <w:r>
        <w:t>Valida cada transición en el servidor. Un evento externo puede llegar tarde, repetirse o llegar fuera de orden, por lo que el procesamiento debe ser idempotente. Antes de repetir un trabajo, comprueba el estado persistido; responde correctamente a reintentos sin volver a cobrar, restar stock o emitir factura.</w:t>
      </w:r>
    </w:p>
    <w:p>
      <w:pPr>
        <w:keepLines/>
        <w:spacing w:line="480" w:lineRule="auto"/>
        <w:ind w:firstLine="720"/>
      </w:pPr>
      <w:r>
        <w:t>Ejecuta reserva y confirmación de inventario con transacciones y bloqueo de filas. Define tiempos de espera y recuperación ante fallo para impedir que una orden pagada quede sin despacho o una orden cancelada conserve stock reservado.</w:t>
      </w:r>
    </w:p>
    <w:p>
      <w:pPr>
        <w:pStyle w:val="Heading1"/>
      </w:pPr>
      <w:r>
        <w:t>4. Seguridad y hardening</w:t>
      </w:r>
    </w:p>
    <w:p>
      <w:pPr>
        <w:keepLines/>
        <w:spacing w:line="480" w:lineRule="auto"/>
        <w:ind w:firstLine="720"/>
      </w:pPr>
      <w:r>
        <w:t>La documentación establece defensa en profundidad: contraseñas con bcrypt, tokens aleatorios seguros y secretos de pasarela cifrados. Las firmas SHA-256 se usan para verificar integridad de operaciones de Wompi. Mantén APP_KEY y secretos fuera del código fuente y limita quién puede leerlos.</w:t>
      </w:r>
    </w:p>
    <w:p>
      <w:pPr>
        <w:keepLines/>
        <w:spacing w:line="480" w:lineRule="auto"/>
        <w:ind w:firstLine="720"/>
      </w:pPr>
      <w:r>
        <w:t>Mitiga inyección SQL con consultas parametrizadas y ORM; XSS mediante escape contextual y sanitización; CSRF mediante tokens de sesión; IDOR mediante políticas de autorización y comprobación de propiedad. Aplica limitación de tasa en autenticación, API y webhooks. No confíes en que ocultar botones equivalga a autorización.</w:t>
      </w:r>
    </w:p>
    <w:p>
      <w:pPr>
        <w:keepLines/>
        <w:spacing w:line="480" w:lineRule="auto"/>
        <w:ind w:firstLine="720"/>
      </w:pPr>
      <w:r>
        <w:t>La guía técnica menciona cabeceras como X-Frame-Options, X-Content-Type-Options, Referrer-Policy y Permissions-Policy. Revisa la política del navegador y el proxy inverso antes de activar cambios de cabeceras en producción, ya que una política restrictiva puede afectar servicios integrados.</w:t>
      </w:r>
    </w:p>
    <w:p>
      <w:pPr>
        <w:keepLines/>
        <w:spacing w:line="480" w:lineRule="auto"/>
        <w:ind w:firstLine="720"/>
      </w:pPr>
      <w:r>
        <w:t>Centraliza registros sin incluir tokens, contraseñas, OTP, secretos de webhook ni datos financieros completos. Audita acciones administrativas con actor, fecha, dirección de origen y cambios relevantes, respetando los controles de privacidad.</w:t>
      </w:r>
    </w:p>
    <w:p>
      <w:pPr>
        <w:pStyle w:val="Heading1"/>
      </w:pPr>
      <w:r>
        <w:t>5. Rendimiento y resiliencia</w:t>
      </w:r>
    </w:p>
    <w:p>
      <w:pPr>
        <w:keepLines/>
        <w:spacing w:line="480" w:lineRule="auto"/>
        <w:ind w:firstLine="720"/>
      </w:pPr>
      <w:r>
        <w:t>Evita consultas N+1 usando carga anticipada de relaciones y paginación. Inspecciona consultas lentas y agrega índices basados en patrones medidos. Mantén consultas analíticas separadas de las rutas críticas de compra cuando el volumen lo exija.</w:t>
      </w:r>
    </w:p>
    <w:p>
      <w:pPr>
        <w:keepLines/>
        <w:spacing w:line="480" w:lineRule="auto"/>
        <w:ind w:firstLine="720"/>
      </w:pPr>
      <w:r>
        <w:t>Optimiza imágenes a WebP y entrega alternativas cuando el navegador lo requiera; configura carga diferida para imágenes fuera de pantalla. La compresión HTTP reduce el volumen transferido, pero debe configurarse en una sola capa de forma coherente con el servidor web y la aplicación.</w:t>
      </w:r>
    </w:p>
    <w:p>
      <w:pPr>
        <w:keepLines/>
        <w:spacing w:line="480" w:lineRule="auto"/>
        <w:ind w:firstLine="720"/>
      </w:pPr>
      <w:r>
        <w:t>Para cada integración define timeout, manejo de errores, reintentos limitados, registro y mecanismos de recuperación. No reintentes indefinidamente fallos de autenticación o datos inválidos. Controla colas, trabajos fallidos, uso de CPU y memoria, espacio en disco y latencia de proveedores.</w:t>
      </w:r>
    </w:p>
    <w:p>
      <w:pPr>
        <w:pStyle w:val="Heading1"/>
      </w:pPr>
      <w:r>
        <w:t>6. Despliegue y operación</w:t>
      </w:r>
    </w:p>
    <w:p>
      <w:pPr>
        <w:keepLines/>
        <w:spacing w:line="480" w:lineRule="auto"/>
        <w:ind w:firstLine="720"/>
      </w:pPr>
      <w:r>
        <w:t>La guía de despliegue presenta como referencia un VPS con 2 vCPU, 4 GB RAM y 40 GB NVMe para un tráfico estimado de hasta 100 usuarios concurrentes y 1.000 pedidos diarios, con Ubuntu o Debian, servidor web y PHP-FPM. Es un dimensionamiento orientativo publicado por el repositorio; valida capacidad con pruebas de carga y métricas reales antes de adoptarlo.</w:t>
      </w:r>
    </w:p>
    <w:p>
      <w:pPr>
        <w:keepLines/>
        <w:spacing w:line="480" w:lineRule="auto"/>
        <w:ind w:firstLine="720"/>
      </w:pPr>
      <w:r>
        <w:t>En producción desactiva el modo debug y activa cachés de configuración, rutas, vistas y eventos cuando la aplicación y el proceso de despliegue lo permitan. Verifica permisos de storage y caché, enlace de archivos públicos, certificados TLS, respaldos y plan de reversión. Nunca subas el archivo .env ni expongas el directorio de almacenamiento.</w:t>
      </w:r>
    </w:p>
    <w:p>
      <w:pPr>
        <w:keepLines/>
        <w:spacing w:line="480" w:lineRule="auto"/>
        <w:ind w:firstLine="720"/>
      </w:pPr>
      <w:r>
        <w:t>Mantén workers de cola bajo un supervisor de procesos que los reinicie tras fallos y reinícialos después de despliegues. Programa el scheduler de Laravel cada minuto como indica la documentación y verifica que no se ejecute duplicado en varios nodos sin coordinación.</w:t>
      </w:r>
    </w:p>
    <w:p>
      <w:pPr>
        <w:keepLines/>
        <w:spacing w:line="480" w:lineRule="auto"/>
        <w:ind w:firstLine="720"/>
      </w:pPr>
      <w:r>
        <w:t>Antes del pase a producción, valida conexión a base de datos, acceso a proveedores, cron, colas, correo, logs y respaldo recuperable. Después del despliegue, ejecuta una compra controlada en sandbox o un flujo de bajo riesgo y confirma webhooks, generación de guía y facturación sin duplicar transacciones.</w:t>
      </w:r>
    </w:p>
    <w:p>
      <w:pPr>
        <w:pStyle w:val="Heading1"/>
      </w:pPr>
      <w:r>
        <w:t>7. Respuesta a incidentes</w:t>
      </w:r>
    </w:p>
    <w:p>
      <w:pPr>
        <w:keepLines/>
        <w:spacing w:line="480" w:lineRule="auto"/>
        <w:ind w:firstLine="720"/>
      </w:pPr>
      <w:r>
        <w:t>Cuando falle una integración, registra la hora, operación, identificador de pedido si existe, respuesta HTTP y código del proveedor, eliminando credenciales y datos personales. Clasifica si el problema es autenticación, validación, disponibilidad o configuración. Revisa primero logs de aplicación, cola y proveedor antes de repetir manualmente una acción financiera.</w:t>
      </w:r>
    </w:p>
    <w:p>
      <w:pPr>
        <w:keepLines/>
        <w:spacing w:line="480" w:lineRule="auto"/>
        <w:ind w:firstLine="720"/>
      </w:pPr>
      <w:r>
        <w:t>Tras corregir la causa, reprocesa únicamente trabajos seguros e idempotentes. Confirma el estado final con el proveedor y con los registros locales; documenta el incidente, su impacto y la medida preventiva.</w:t>
      </w:r>
    </w:p>
    <w:p>
      <w:pPr>
        <w:pStyle w:val="Heading1"/>
        <w:jc w:val="center"/>
      </w:pPr>
      <w:r>
        <w:t>Referencias</w:t>
      </w:r>
    </w:p>
    <w:p>
      <w:pPr>
        <w:spacing w:line="480" w:lineRule="auto"/>
        <w:ind w:left="720" w:hanging="720"/>
      </w:pPr>
      <w:r>
        <w:t>FusaShop. (s. f.). *Manual técnico de FusaShop*. Documentación oficial de FusaShop. Recuperado el 23 de octubre de 2026, de https://universidad-de-cundinamarca.mintlify.site/tecnico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008C69"/>
        <w:sz w:val="16"/>
      </w:rPr>
      <w:t>FUSASHOP  |  DOCUMENTACIÓN INSTITUCIONAL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48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="48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0" w:line="48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de FusaShop</dc:title>
  <dc:subject>Modelo de datos seguridad rendimiento y operaciones</dc:subject>
  <dc:creator>FusaShop</dc:creator>
  <cp:keywords>FusaShop, manual, APA 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