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40" w:line="480" w:lineRule="auto"/>
        <w:jc w:val="center"/>
      </w:pPr>
      <w:r>
        <w:rPr>
          <w:rFonts w:ascii="Times New Roman" w:hAnsi="Times New Roman"/>
          <w:b/>
          <w:color w:val="000000"/>
          <w:sz w:val="36"/>
        </w:rPr>
        <w:t>Manual de usuario de FusaShop</w:t>
      </w:r>
    </w:p>
    <w:p>
      <w:pPr>
        <w:spacing w:line="480" w:lineRule="auto"/>
        <w:jc w:val="center"/>
      </w:pPr>
      <w:r>
        <w:rPr>
          <w:rFonts w:ascii="Times New Roman" w:hAnsi="Times New Roman"/>
          <w:color w:val="1F2937"/>
          <w:sz w:val="24"/>
        </w:rPr>
        <w:t>Guía para compradores comerciantes y analistas</w:t>
      </w:r>
    </w:p>
    <w:p>
      <w:pPr>
        <w:spacing w:line="480" w:lineRule="auto"/>
        <w:jc w:val="center"/>
      </w:pPr>
      <w:r>
        <w:t>FusaShop</w:t>
      </w:r>
    </w:p>
    <w:p>
      <w:pPr>
        <w:spacing w:line="480" w:lineRule="auto"/>
        <w:jc w:val="center"/>
      </w:pPr>
      <w:r>
        <w:t>Guía elaborada a partir de la documentación pública del repositorio</w:t>
      </w:r>
    </w:p>
    <w:p>
      <w:pPr>
        <w:spacing w:line="480" w:lineRule="auto"/>
        <w:jc w:val="center"/>
      </w:pPr>
      <w:r>
        <w:t>Fusagasugá, Colombia</w:t>
      </w:r>
    </w:p>
    <w:p>
      <w:pPr>
        <w:spacing w:line="480" w:lineRule="auto"/>
        <w:jc w:val="center"/>
      </w:pPr>
      <w:r>
        <w:t>23 de octubre de 2026</w:t>
      </w:r>
    </w:p>
    <w:p>
      <w:r>
        <w:br w:type="page"/>
      </w:r>
    </w:p>
    <w:p>
      <w:pPr>
        <w:pStyle w:val="Heading1"/>
        <w:jc w:val="center"/>
      </w:pPr>
      <w:r>
        <w:t>Introducción</w:t>
      </w:r>
    </w:p>
    <w:p>
      <w:pPr>
        <w:spacing w:line="480" w:lineRule="auto"/>
        <w:ind w:firstLine="720"/>
      </w:pPr>
      <w:r>
        <w:t>Esta guía explica cómo usar FusaShop desde los perfiles de comprador, comerciante y analista. Resume el registro, la búsqueda y compra de productos, la administración de una tienda y las tareas de análisis. Los pasos y políticas se describen según la documentación pública consultada; la disponibilidad de integraciones puede depender de la configuración activa del comercio.</w:t>
      </w:r>
    </w:p>
    <w:p>
      <w:pPr>
        <w:spacing w:line="480" w:lineRule="auto"/>
        <w:ind w:firstLine="720"/>
      </w:pPr>
      <w:r>
        <w:rPr>
          <w:b/>
        </w:rPr>
        <w:t xml:space="preserve">Base documental. </w:t>
      </w:r>
      <w:r>
        <w:t>El contenido se organizó y parafraseó a partir de la documentación oficial pública de FusaShop. Las descripciones de funcionalidades, parámetros y políticas corresponden a lo publicado en las páginas consultadas y pueden cambiar con la versión desplegada (FusaShop, s. f.).</w:t>
      </w:r>
    </w:p>
    <w:p>
      <w:pPr>
        <w:pStyle w:val="Heading1"/>
      </w:pPr>
      <w:r>
        <w:t>1. Alcance y perfiles</w:t>
      </w:r>
    </w:p>
    <w:p>
      <w:pPr>
        <w:keepLines/>
        <w:spacing w:line="480" w:lineRule="auto"/>
        <w:ind w:firstLine="720"/>
      </w:pPr>
      <w:r>
        <w:t>FusaShop es una plataforma de comercio electrónico con varias tiendas orientada a conectar negocios y compradores de la región del Sumapaz. La documentación contempla tres perfiles principales: consumidor, comerciante y analista. Las opciones visibles dependen del rol asignado a la cuenta.</w:t>
      </w:r>
    </w:p>
    <w:p>
      <w:pPr>
        <w:keepLines/>
        <w:spacing w:line="480" w:lineRule="auto"/>
        <w:ind w:firstLine="720"/>
      </w:pPr>
      <w:r>
        <w:t>Comprador: consulta productos y servicios, administra direcciones, realiza pedidos y revisa pagos y entregas. Comerciante: gestiona una tienda, catálogo, inventario, pedidos y sus datos de liquidación. Analista: revisa indicadores y procesos de gobierno que requieren permisos administrativos.</w:t>
      </w:r>
    </w:p>
    <w:p>
      <w:pPr>
        <w:pStyle w:val="Heading1"/>
      </w:pPr>
      <w:r>
        <w:t>2. Crear una cuenta e iniciar sesión</w:t>
      </w:r>
    </w:p>
    <w:p>
      <w:pPr>
        <w:keepLines/>
        <w:spacing w:line="480" w:lineRule="auto"/>
        <w:ind w:firstLine="720"/>
      </w:pPr>
      <w:r>
        <w:t>Regístrate con un correo electrónico válido y completa la verificación mediante el código de un solo uso enviado al correo. El código tiene vigencia limitada; solicita uno nuevo si vence. La documentación indica vencimiento a los 10 minutos y bloqueo temporal después de varios intentos incorrectos. También puede estar disponible el inicio de sesión con Google.</w:t>
      </w:r>
    </w:p>
    <w:p>
      <w:pPr>
        <w:keepLines/>
        <w:spacing w:line="480" w:lineRule="auto"/>
        <w:ind w:firstLine="720"/>
      </w:pPr>
      <w:r>
        <w:t>No compartas el código ni la contraseña. Si no llega el mensaje, revisa correo no deseado, confirma que el correo esté escrito correctamente y vuelve a solicitarlo. Si la cuenta queda bloqueada, espera el periodo indicado o contacta soporte.</w:t>
      </w:r>
    </w:p>
    <w:p>
      <w:pPr>
        <w:pStyle w:val="Heading1"/>
      </w:pPr>
      <w:r>
        <w:t>3. Buscar y elegir</w:t>
      </w:r>
    </w:p>
    <w:p>
      <w:pPr>
        <w:keepLines/>
        <w:spacing w:line="480" w:lineRule="auto"/>
        <w:ind w:firstLine="720"/>
      </w:pPr>
      <w:r>
        <w:t>Usa la búsqueda del catálogo para encontrar artículos por nombre o descripción. Refina los resultados con filtros y consulta el directorio de comercios cuando quieras explorar tiendas por zona. Verifica la descripción, precio, disponibilidad y condiciones antes de añadir un producto al carrito.</w:t>
      </w:r>
    </w:p>
    <w:p>
      <w:pPr>
        <w:keepLines/>
        <w:spacing w:line="480" w:lineRule="auto"/>
        <w:ind w:firstLine="720"/>
      </w:pPr>
      <w:r>
        <w:t>La plataforma documenta búsqueda por texto, voz e imagen. La disponibilidad de cada modalidad puede variar según el dispositivo y la versión activa.</w:t>
      </w:r>
    </w:p>
    <w:p>
      <w:pPr>
        <w:pStyle w:val="Heading1"/>
      </w:pPr>
      <w:r>
        <w:t>4. Direcciones y cotización de envío</w:t>
      </w:r>
    </w:p>
    <w:p>
      <w:pPr>
        <w:keepLines/>
        <w:spacing w:line="480" w:lineRule="auto"/>
        <w:ind w:firstLine="720"/>
      </w:pPr>
      <w:r>
        <w:t>Registra una dirección de entrega completa, con municipio, departamento y código postal real correspondiente a la dirección. Revisa que el nombre del destinatario, teléfono, barrio y nomenclatura sean correctos. Para productos físicos, el checkout consulta una tarifa de transporte usando los datos de destino y las características del paquete.</w:t>
      </w:r>
    </w:p>
    <w:p>
      <w:pPr>
        <w:keepLines/>
        <w:spacing w:line="480" w:lineRule="auto"/>
        <w:ind w:firstLine="720"/>
      </w:pPr>
      <w:r>
        <w:t>Si no aparece una tarifa, verifica la dirección y el código postal en una fuente oficial, comprueba que el producto tenga peso y dimensiones configurados y vuelve a intentar. Si persiste, la cotización podría no estar disponible para esa ruta o el proveedor de transporte podría estar respondiendo con error; contacta soporte con la hora del intento. No ingreses datos falsos para forzar una cotización.</w:t>
      </w:r>
    </w:p>
    <w:p>
      <w:pPr>
        <w:keepLines/>
        <w:spacing w:line="480" w:lineRule="auto"/>
        <w:ind w:firstLine="720"/>
      </w:pPr>
      <w:r>
        <w:t>Los servicios locales o reservas presenciales pueden seguir un flujo distinto del envío de mercancía. Comprueba la modalidad del artículo y las instrucciones de la tienda.</w:t>
      </w:r>
    </w:p>
    <w:p>
      <w:pPr>
        <w:pStyle w:val="Heading1"/>
      </w:pPr>
      <w:r>
        <w:t>5. Compra y pago</w:t>
      </w:r>
    </w:p>
    <w:p>
      <w:pPr>
        <w:keepLines/>
        <w:spacing w:line="480" w:lineRule="auto"/>
        <w:ind w:firstLine="720"/>
      </w:pPr>
      <w:r>
        <w:t>Añade los artículos al carrito y revisa cantidades, subtotales, dirección y costo de envío. El sistema puede reservar temporalmente existencias mientras completas el pago; la documentación describe una ventana de 30 minutos para esa reserva.</w:t>
      </w:r>
    </w:p>
    <w:p>
      <w:pPr>
        <w:keepLines/>
        <w:spacing w:line="480" w:lineRule="auto"/>
        <w:ind w:firstLine="720"/>
      </w:pPr>
      <w:r>
        <w:t>Completa el pago por los métodos que el checkout muestre, como tarjeta, PSE, Nequi o QR Bancolombia. Confirma el resultado en la pantalla de pago y en el historial de pedidos. No repitas el pago si el estado está pendiente: primero verifica con el banco y revisa el pedido para evitar duplicados.</w:t>
      </w:r>
    </w:p>
    <w:p>
      <w:pPr>
        <w:pStyle w:val="Heading1"/>
      </w:pPr>
      <w:r>
        <w:t>6. Seguimiento, factura y atención</w:t>
      </w:r>
    </w:p>
    <w:p>
      <w:pPr>
        <w:keepLines/>
        <w:spacing w:line="480" w:lineRule="auto"/>
        <w:ind w:firstLine="720"/>
      </w:pPr>
      <w:r>
        <w:t>En “Mis pedidos” consulta el estado. Después de confirmar el pago, el pedido pasa a preparación; cuando el comercio despacha, se genera información de seguimiento y la transportadora actualiza la entrega. La documentación describe emisión de factura electrónica por integración con Factus y transmisión a la DIAN; descarga el PDF o XML cuando estén disponibles.</w:t>
      </w:r>
    </w:p>
    <w:p>
      <w:pPr>
        <w:keepLines/>
        <w:spacing w:line="480" w:lineRule="auto"/>
        <w:ind w:firstLine="720"/>
      </w:pPr>
      <w:r>
        <w:t>Para preguntas usa los canales que aparecen en la plataforma. El manual documenta FusaBot como asistente permanente y atención de PQRS con respuesta máxima de 15 días hábiles, conforme al proceso informado por la plataforma. Conserva el número del pedido y evidencia relevante al reportar una novedad.</w:t>
      </w:r>
    </w:p>
    <w:p>
      <w:pPr>
        <w:pStyle w:val="Heading1"/>
      </w:pPr>
      <w:r>
        <w:t>7. Operación del comerciante</w:t>
      </w:r>
    </w:p>
    <w:p>
      <w:pPr>
        <w:keepLines/>
        <w:spacing w:line="480" w:lineRule="auto"/>
        <w:ind w:firstLine="720"/>
      </w:pPr>
      <w:r>
        <w:t>Completa el registro de la tienda con datos comerciales y documentos solicitados para la validación. El estado KYC puede ser pendiente, aprobado o rechazado. Mantén actualizados los datos fiscales y de contacto; solo el personal autorizado debe revisar documentación sensible.</w:t>
      </w:r>
    </w:p>
    <w:p>
      <w:pPr>
        <w:keepLines/>
        <w:spacing w:line="480" w:lineRule="auto"/>
        <w:ind w:firstLine="720"/>
      </w:pPr>
      <w:r>
        <w:t>Crea productos con título, descripción, precio, categoría, impuestos, fotografías y existencias correctas. Para un servicio o experiencia local, configura su modalidad y disponibilidad según el formulario. Atiende pedidos desde el panel, prepara los productos y genera o imprime la guía cuando la integración lo permita.</w:t>
      </w:r>
    </w:p>
    <w:p>
      <w:pPr>
        <w:keepLines/>
        <w:spacing w:line="480" w:lineRule="auto"/>
        <w:ind w:firstLine="720"/>
      </w:pPr>
      <w:r>
        <w:t>Revisa el panel de ventas para entender pedidos, comisiones, fletes y liquidación neta. La documentación pública describe una comisión de referencia del 8 %, pero las condiciones efectivas deben confirmarse en la configuración y los acuerdos vigentes del comercio. Verifica periódicamente el medio de dispersión y la titularidad de la cuenta.</w:t>
      </w:r>
    </w:p>
    <w:p>
      <w:pPr>
        <w:pStyle w:val="Heading1"/>
      </w:pPr>
      <w:r>
        <w:t>8. Panel de análisis y buenas prácticas</w:t>
      </w:r>
    </w:p>
    <w:p>
      <w:pPr>
        <w:keepLines/>
        <w:spacing w:line="480" w:lineRule="auto"/>
        <w:ind w:firstLine="720"/>
      </w:pPr>
      <w:r>
        <w:t>El perfil analista puede consultar ventas brutas, pedidos, ticket promedio, conversión y segmentación territorial. Usa los filtros de periodo para comparar tendencias y considera que los indicadores dependen de la integridad y actualización de los datos.</w:t>
      </w:r>
    </w:p>
    <w:p>
      <w:pPr>
        <w:keepLines/>
        <w:spacing w:line="480" w:lineRule="auto"/>
        <w:ind w:firstLine="720"/>
      </w:pPr>
      <w:r>
        <w:t>Protege la información personal, cierra sesión en dispositivos compartidos y reporta cualquier acceso inesperado. No envíes contraseñas, OTP ni datos completos de pago por chat. Para soporte incluye una descripción breve, hora aproximada, perfil usado y número de pedido, sin compartir secretos.</w:t>
      </w:r>
    </w:p>
    <w:p>
      <w:pPr>
        <w:pStyle w:val="Heading1"/>
        <w:jc w:val="center"/>
      </w:pPr>
      <w:r>
        <w:t>Referencias</w:t>
      </w:r>
    </w:p>
    <w:p>
      <w:pPr>
        <w:spacing w:line="480" w:lineRule="auto"/>
        <w:ind w:left="720" w:hanging="720"/>
      </w:pPr>
      <w:r>
        <w:t>FusaShop. (s. f.). *Manual de usuario de FusaShop*. Documentación oficial de FusaShop. Recuperado el 23 de octubre de 2026, de https://universidad-de-cundinamarca.mintlify.site/usuario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08C69"/>
        <w:sz w:val="16"/>
      </w:rPr>
      <w:t>FUSASHOP  |  DOCUMENTACIÓN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48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FusaShop</dc:title>
  <dc:subject>Guía para compradores comerciantes y analistas</dc:subject>
  <dc:creator>FusaShop</dc:creator>
  <cp:keywords>FusaShop, manual, APA 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