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line="480" w:lineRule="auto"/>
        <w:jc w:val="center"/>
      </w:pPr>
      <w:r>
        <w:rPr>
          <w:rFonts w:ascii="Times New Roman" w:hAnsi="Times New Roman"/>
          <w:b/>
          <w:color w:val="000000"/>
          <w:sz w:val="36"/>
        </w:rPr>
        <w:t>Manual del desarrollador de FusaShop</w:t>
      </w:r>
    </w:p>
    <w:p>
      <w:pPr>
        <w:spacing w:line="480" w:lineRule="auto"/>
        <w:jc w:val="center"/>
      </w:pPr>
      <w:r>
        <w:rPr>
          <w:rFonts w:ascii="Times New Roman" w:hAnsi="Times New Roman"/>
          <w:color w:val="1F2937"/>
          <w:sz w:val="24"/>
        </w:rPr>
        <w:t>Arquitectura implementación e integración</w:t>
      </w:r>
    </w:p>
    <w:p>
      <w:pPr>
        <w:spacing w:line="480" w:lineRule="auto"/>
        <w:jc w:val="center"/>
      </w:pPr>
      <w:r>
        <w:t>FusaShop</w:t>
      </w:r>
    </w:p>
    <w:p>
      <w:pPr>
        <w:spacing w:line="480" w:lineRule="auto"/>
        <w:jc w:val="center"/>
      </w:pPr>
      <w:r>
        <w:t>Guía elaborada a partir de la documentación pública del repositorio</w:t>
      </w:r>
    </w:p>
    <w:p>
      <w:pPr>
        <w:spacing w:line="480" w:lineRule="auto"/>
        <w:jc w:val="center"/>
      </w:pPr>
      <w:r>
        <w:t>Fusagasugá, Colombia</w:t>
      </w:r>
    </w:p>
    <w:p>
      <w:pPr>
        <w:spacing w:line="480" w:lineRule="auto"/>
        <w:jc w:val="center"/>
      </w:pPr>
      <w:r>
        <w:t>23 de octubre de 2026</w:t>
      </w:r>
    </w:p>
    <w:p>
      <w:r>
        <w:br w:type="page"/>
      </w:r>
    </w:p>
    <w:p>
      <w:pPr>
        <w:pStyle w:val="Heading1"/>
        <w:jc w:val="center"/>
      </w:pPr>
      <w:r>
        <w:t>Introducción</w:t>
      </w:r>
    </w:p>
    <w:p>
      <w:pPr>
        <w:spacing w:line="480" w:lineRule="auto"/>
        <w:ind w:firstLine="720"/>
      </w:pPr>
      <w:r>
        <w:t>Este manual orienta a quienes mantienen o amplían FusaShop. Presenta la estructura de la aplicación, los servicios de dominio, las integraciones externas, las medidas de seguridad y el flujo de instalación local descritos en el repositorio. Antes de aplicar un procedimiento, contrástalo con el código y las variables de entorno de la versión desplegada.</w:t>
      </w:r>
    </w:p>
    <w:p>
      <w:pPr>
        <w:spacing w:line="480" w:lineRule="auto"/>
        <w:ind w:firstLine="720"/>
      </w:pPr>
      <w:r>
        <w:rPr>
          <w:b/>
        </w:rPr>
        <w:t xml:space="preserve">Base documental. </w:t>
      </w:r>
      <w:r>
        <w:t>El contenido se organizó y parafraseó a partir de la documentación oficial pública de FusaShop. Las descripciones de funcionalidades, parámetros y políticas corresponden a lo publicado en las páginas consultadas y pueden cambiar con la versión desplegada (FusaShop, s. f.).</w:t>
      </w:r>
    </w:p>
    <w:p>
      <w:pPr>
        <w:pStyle w:val="Heading1"/>
      </w:pPr>
      <w:r>
        <w:t>1. Plataforma y principios</w:t>
      </w:r>
    </w:p>
    <w:p>
      <w:pPr>
        <w:keepLines/>
        <w:spacing w:line="480" w:lineRule="auto"/>
        <w:ind w:firstLine="720"/>
      </w:pPr>
      <w:r>
        <w:t>La documentación describe una aplicación Laravel 12 con PHP 8.2 o superior, MariaDB/MySQL, Blade, Alpine.js y Tailwind CSS. Las tareas de integración se delegan en servicios y trabajos de cola; la interfaz prioriza renderizado del servidor y una experiencia utilizable en conexiones móviles de baja velocidad.</w:t>
      </w:r>
    </w:p>
    <w:p>
      <w:pPr>
        <w:keepLines/>
        <w:spacing w:line="480" w:lineRule="auto"/>
        <w:ind w:firstLine="720"/>
      </w:pPr>
      <w:r>
        <w:t>Mantén responsabilidades separadas: los controladores reciben y validan la petición, los servicios aplican reglas de negocio, los modelos representan datos y los trabajos asíncronos ejecutan operaciones externas o lentas. Usa transacciones para cambios coordinados de pago, inventario y orden.</w:t>
      </w:r>
    </w:p>
    <w:p>
      <w:pPr>
        <w:pStyle w:val="Heading1"/>
      </w:pPr>
      <w:r>
        <w:t>2. Estructura del proyecto y convenciones</w:t>
      </w:r>
    </w:p>
    <w:p>
      <w:pPr>
        <w:keepLines/>
        <w:spacing w:line="480" w:lineRule="auto"/>
        <w:ind w:firstLine="720"/>
      </w:pPr>
      <w:r>
        <w:t>El código de aplicación se organiza en controladores por área funcional, modelos, servicios de dominio, trabajos en cola y middleware. Las migraciones y seeders viven en database; vistas y recursos de interfaz en resources; endpoints web y API se definen en routes. Antes de crear una clase, busca la abstracción existente para evitar duplicar reglas.</w:t>
      </w:r>
    </w:p>
    <w:p>
      <w:pPr>
        <w:keepLines/>
        <w:spacing w:line="480" w:lineRule="auto"/>
        <w:ind w:firstLine="720"/>
      </w:pPr>
      <w:r>
        <w:t>Sigue PSR-12 y las convenciones descritas: clases y modelos en PascalCase, controladores con sufijo Controller, servicios con sufijo Service, trabajos con nombres de acción, tablas plurales en snake_case y claves foráneas con el patrón entidad_id. Mantén nombres coherentes con el dominio.</w:t>
      </w:r>
    </w:p>
    <w:p>
      <w:pPr>
        <w:pStyle w:val="Heading1"/>
      </w:pPr>
      <w:r>
        <w:t>3. Dominio y ciclo de compra</w:t>
      </w:r>
    </w:p>
    <w:p>
      <w:pPr>
        <w:keepLines/>
        <w:spacing w:line="480" w:lineRule="auto"/>
        <w:ind w:firstLine="720"/>
      </w:pPr>
      <w:r>
        <w:t>Los roles documentados incluyen consumidor, comerciante, analista y superadministrador. El perfil de comercio reúne datos de identidad, estado de validación y forma de liquidación. Las órdenes vinculan comprador, comercio, estado, pago y despacho. Consulta el modelo actual antes de asumir campos, porque el esquema puede cambiar con nuevas migraciones.</w:t>
      </w:r>
    </w:p>
    <w:p>
      <w:pPr>
        <w:keepLines/>
        <w:spacing w:line="480" w:lineRule="auto"/>
        <w:ind w:firstLine="720"/>
      </w:pPr>
      <w:r>
        <w:t>El checkout valida precios y cantidades, solicita una tarifa de envío cuando corresponde, crea la orden y reserva stock. La reserva tiene vencimiento documentado de 30 minutos. El servicio de inventario debe operar dentro de una transacción y bloquear filas al reservar; la confirmación del pago convierte la reserva en descuento definitivo. Si el pago vence o se rechaza, el proceso libera el stock.</w:t>
      </w:r>
    </w:p>
    <w:p>
      <w:pPr>
        <w:keepLines/>
        <w:spacing w:line="480" w:lineRule="auto"/>
        <w:ind w:firstLine="720"/>
      </w:pPr>
      <w:r>
        <w:t>Representa las transiciones de estado de forma explícita. La documentación describe el paso de pendiente a pagado/en preparación, luego enviado y entregado, además de cancelación por vencimiento o rechazo. Rechaza transiciones inválidas y registra eventos que permitan reconstruir el historial.</w:t>
      </w:r>
    </w:p>
    <w:p>
      <w:pPr>
        <w:pStyle w:val="Heading1"/>
      </w:pPr>
      <w:r>
        <w:t>4. Integraciones externas</w:t>
      </w:r>
    </w:p>
    <w:p>
      <w:pPr>
        <w:keepLines/>
        <w:spacing w:line="480" w:lineRule="auto"/>
        <w:ind w:firstLine="720"/>
      </w:pPr>
      <w:r>
        <w:t>Wompi: genera la firma de integridad con los valores exactos exigidos por la integración y valida las notificaciones entrantes. Trata los webhooks como repetibles: registra o detecta eventos ya procesados, confirma el pago una sola vez y responde de manera que no genere duplicidad de cobro, inventario o facturación.</w:t>
      </w:r>
    </w:p>
    <w:p>
      <w:pPr>
        <w:keepLines/>
        <w:spacing w:line="480" w:lineRule="auto"/>
        <w:ind w:firstLine="720"/>
      </w:pPr>
      <w:r>
        <w:t>Envía/Colvanes: la cotización depende del destino y de las características del paquete. Mantén peso, dimensiones y datos de destino validados. La creación de guías puede ejecutarse en una cola; registra errores y permite reintentos controlados. No marques un despacho como completado hasta recibir la confirmación correspondiente.</w:t>
      </w:r>
    </w:p>
    <w:p>
      <w:pPr>
        <w:keepLines/>
        <w:spacing w:line="480" w:lineRule="auto"/>
        <w:ind w:firstLine="720"/>
      </w:pPr>
      <w:r>
        <w:t>Factus y DIAN: gestiona credenciales de manera segura, renueva tokens antes de que expiren y valida el cuerpo de la solicitud según el contrato vigente. La documentación refiere Factus API v2, uso de códigos de municipio y obtención de factura PDF/XML. Maneja las respuestas de error sin exponer secretos ni duplicar la emisión.</w:t>
      </w:r>
    </w:p>
    <w:p>
      <w:pPr>
        <w:keepLines/>
        <w:spacing w:line="480" w:lineRule="auto"/>
        <w:ind w:firstLine="720"/>
      </w:pPr>
      <w:r>
        <w:t>FusaBot y MCP: la documentación define un endpoint JSON-RPC 2.0 protegido con Bearer token y herramientas para buscar catálogo, consultar pedidos y métricas autorizadas. Limita cada herramienta a los datos necesarios, valida parámetros y aplica autorización por usuario y rol.</w:t>
      </w:r>
    </w:p>
    <w:p>
      <w:pPr>
        <w:pStyle w:val="Heading1"/>
      </w:pPr>
      <w:r>
        <w:t>5. Seguridad y datos sensibles</w:t>
      </w:r>
    </w:p>
    <w:p>
      <w:pPr>
        <w:keepLines/>
        <w:spacing w:line="480" w:lineRule="auto"/>
        <w:ind w:firstLine="720"/>
      </w:pPr>
      <w:r>
        <w:t>Usa las herramientas criptográficas del framework para cifrar credenciales de pasarelas y protege la clave APP_KEY. No guardes secretos en el repositorio, logs o respuestas de API. La documentación menciona cifrado en reposo AES-256-CBC con autenticación HMAC-SHA256, contraseñas con bcrypt y generación criptográficamente segura de tokens.</w:t>
      </w:r>
    </w:p>
    <w:p>
      <w:pPr>
        <w:keepLines/>
        <w:spacing w:line="480" w:lineRule="auto"/>
        <w:ind w:firstLine="720"/>
      </w:pPr>
      <w:r>
        <w:t>Aplica autorización por rol y propiedad del recurso; un comerciante no debe acceder a pedidos de otra tienda. Conserva protección CSRF, validación de entrada, consultas parametrizadas, limitación de solicitudes y cabeceras de seguridad. Evita interpolar valores en SQL y sanitiza contenido mostrado.</w:t>
      </w:r>
    </w:p>
    <w:p>
      <w:pPr>
        <w:keepLines/>
        <w:spacing w:line="480" w:lineRule="auto"/>
        <w:ind w:firstLine="720"/>
      </w:pPr>
      <w:r>
        <w:t>Las credenciales del entorno deben configurarse fuera del control de versiones. Usa .env.example como guía sin copiar valores productivos. Rota secretos si fueron expuestos y redacta datos personales y tokens en logs de excepción.</w:t>
      </w:r>
    </w:p>
    <w:p>
      <w:pPr>
        <w:pStyle w:val="Heading1"/>
      </w:pPr>
      <w:r>
        <w:t>6. Instalación local y flujo de trabajo</w:t>
      </w:r>
    </w:p>
    <w:p>
      <w:pPr>
        <w:keepLines/>
        <w:spacing w:line="480" w:lineRule="auto"/>
        <w:ind w:firstLine="720"/>
      </w:pPr>
      <w:r>
        <w:t>Requisitos documentados: PHP 8.2 o superior, Composer 2.7 o superior, Node.js 20/22, MariaDB 10.6 o MySQL 8 y Git. Clona el repositorio autorizado, instala dependencias PHP y JavaScript, crea la configuración local a partir del ejemplo, genera la clave de aplicación, configura una base de datos de desarrollo y ejecuta las migraciones.</w:t>
      </w:r>
    </w:p>
    <w:p>
      <w:pPr>
        <w:keepLines/>
        <w:spacing w:line="480" w:lineRule="auto"/>
        <w:ind w:firstLine="720"/>
      </w:pPr>
      <w:r>
        <w:t>Compila los recursos de interfaz y levanta el servidor local usando los comandos documentados por el proyecto. No uses credenciales de producción en desarrollo. Verifica que las variables de Wompi, Envía y Factus estén ausentes o apunten a sandbox antes de realizar pruebas de integración.</w:t>
      </w:r>
    </w:p>
    <w:p>
      <w:pPr>
        <w:keepLines/>
        <w:spacing w:line="480" w:lineRule="auto"/>
        <w:ind w:firstLine="720"/>
      </w:pPr>
      <w:r>
        <w:t>Trabaja en ramas de funcionalidad y registra cambios con mensajes claros. Antes de fusionar, ejecuta la suite disponible en el proyecto; la documentación menciona pruebas de checkout, seguridad administrativa, FusaBot y publicidad de comercios. Las cifras de pruebas descritas por el sitio son informativas y pueden quedar desactualizadas respecto del checkout actual.</w:t>
      </w:r>
    </w:p>
    <w:p>
      <w:pPr>
        <w:pStyle w:val="Heading1"/>
      </w:pPr>
      <w:r>
        <w:t>7. Observabilidad y operación</w:t>
      </w:r>
    </w:p>
    <w:p>
      <w:pPr>
        <w:keepLines/>
        <w:spacing w:line="480" w:lineRule="auto"/>
        <w:ind w:firstLine="720"/>
      </w:pPr>
      <w:r>
        <w:t>Registra errores de integración con identificador de correlación, servicio, acción, hora y código del proveedor. Separa fallos recuperables —por ejemplo, indisponibilidad temporal— de errores permanentes de validación o autenticación. Usa reintentos con límites y evita ciclos que repitan acciones no idempotentes.</w:t>
      </w:r>
    </w:p>
    <w:p>
      <w:pPr>
        <w:keepLines/>
        <w:spacing w:line="480" w:lineRule="auto"/>
        <w:ind w:firstLine="720"/>
      </w:pPr>
      <w:r>
        <w:t>Al cambiar contratos externos, revisa documentación oficial del proveedor y su entorno de pruebas. Mantén sincronizados el código, las migraciones, la documentación y las variables de entorno; la guía pública debe tratarse como descripción del repositorio, no como prueba de que todas las opciones están habilitadas en producción.</w:t>
      </w:r>
    </w:p>
    <w:p>
      <w:pPr>
        <w:pStyle w:val="Heading1"/>
        <w:jc w:val="center"/>
      </w:pPr>
      <w:r>
        <w:t>Referencias</w:t>
      </w:r>
    </w:p>
    <w:p>
      <w:pPr>
        <w:spacing w:line="480" w:lineRule="auto"/>
        <w:ind w:left="720" w:hanging="720"/>
      </w:pPr>
      <w:r>
        <w:t>FusaShop. (s. f.). *Manual del desarrollador de FusaShop*. Documentación oficial de FusaShop. Recuperado el 23 de octubre de 2026, de https://universidad-de-cundinamarca.mintlify.site/desarrollador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8C69"/>
        <w:sz w:val="16"/>
      </w:rPr>
      <w:t>FUSASHOP  |  DOCUMENTACIÓN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48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desarrollador de FusaShop</dc:title>
  <dc:subject>Arquitectura implementación e integración</dc:subject>
  <dc:creator>FusaShop</dc:creator>
  <cp:keywords>FusaShop, manual, APA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