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288" w:lineRule="auto"/>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280160" cy="1280160"/>
                    </a:xfrm>
                    <a:prstGeom prst="rect"/>
                  </pic:spPr>
                </pic:pic>
              </a:graphicData>
            </a:graphic>
          </wp:inline>
        </w:drawing>
      </w:r>
    </w:p>
    <w:p>
      <w:pPr>
        <w:spacing w:before="480" w:line="360" w:lineRule="auto"/>
        <w:jc w:val="center"/>
      </w:pPr>
      <w:r>
        <w:rPr>
          <w:b/>
          <w:color w:val="00865B"/>
          <w:sz w:val="30"/>
        </w:rPr>
        <w:t>ANEXO J</w:t>
      </w:r>
    </w:p>
    <w:p>
      <w:pPr>
        <w:spacing w:line="360" w:lineRule="auto"/>
        <w:jc w:val="center"/>
      </w:pPr>
      <w:r>
        <w:rPr>
          <w:b/>
          <w:sz w:val="36"/>
        </w:rPr>
        <w:t>Marco legal del proyecto FusaShop</w:t>
      </w:r>
    </w:p>
    <w:p>
      <w:pPr>
        <w:spacing w:line="480" w:lineRule="auto"/>
        <w:jc w:val="center"/>
      </w:pPr>
      <w:r>
        <w:t>Versión corregida y actualizada</w:t>
      </w:r>
    </w:p>
    <w:p>
      <w:pPr>
        <w:spacing w:line="480" w:lineRule="auto"/>
        <w:jc w:val="center"/>
      </w:pPr>
      <w:r>
        <w:t>Proyecto FusaShop</w:t>
      </w:r>
    </w:p>
    <w:p>
      <w:pPr>
        <w:spacing w:line="480" w:lineRule="auto"/>
        <w:jc w:val="center"/>
      </w:pPr>
      <w:r>
        <w:t>Fusagasugá, Colombia</w:t>
      </w:r>
    </w:p>
    <w:p>
      <w:pPr>
        <w:spacing w:line="480" w:lineRule="auto"/>
        <w:jc w:val="center"/>
      </w:pPr>
      <w:r>
        <w:t>23 de octubre de 2026</w:t>
      </w:r>
    </w:p>
    <w:p>
      <w:r>
        <w:br w:type="page"/>
      </w:r>
    </w:p>
    <w:p>
      <w:pPr>
        <w:pStyle w:val="Heading1"/>
        <w:jc w:val="center"/>
      </w:pPr>
      <w:r>
        <w:t>Introducción</w:t>
      </w:r>
    </w:p>
    <w:p>
      <w:pPr>
        <w:spacing w:line="480" w:lineRule="auto"/>
        <w:ind w:firstLine="720"/>
      </w:pPr>
      <w:r>
        <w:t>Este anexo revisa el marco normativo aplicable al diseño y operación de FusaShop, una plataforma de comercio electrónico que conecta consumidores con varios comercios, procesa pedidos y pagos mediante integraciones externas, coordina envíos y contempla facturación electrónica. Se actualizan las referencias normativas, se corrigen citas erradas y se distinguen las obligaciones legales de los estándares técnicos. La asignación concreta de responsabilidades dependerá de los contratos y del papel que FusaShop desempeñe en cada operación (Congreso de Colombia, 2011, 2024; Superintendencia de Industria y Comercio [SIC], 2022).</w:t>
      </w:r>
    </w:p>
    <w:p>
      <w:pPr>
        <w:spacing w:line="480" w:lineRule="auto"/>
        <w:ind w:firstLine="720"/>
      </w:pPr>
      <w:r>
        <w:t>El análisis es una base académica para el proyecto, no una certificación de cumplimiento. La plataforma debe revisar periódicamente las normas y validar con asesoría jurídica y tributaria las decisiones que dependan de su estructura comercial, sus contratos, sus datos y los productos ofrecidos.</w:t>
      </w:r>
    </w:p>
    <w:p>
      <w:pPr>
        <w:pStyle w:val="Heading1"/>
        <w:jc w:val="left"/>
      </w:pPr>
      <w:r>
        <w:t>1. Comercio electrónico y validez de las transacciones</w:t>
      </w:r>
    </w:p>
    <w:p>
      <w:pPr>
        <w:spacing w:line="480" w:lineRule="auto"/>
        <w:ind w:firstLine="720"/>
      </w:pPr>
      <w:r>
        <w:t>La Ley 527 de 1999 reconoce efectos jurídicos a los mensajes de datos y regula, entre otros aspectos, su admisibilidad probatoria y la formación de contratos por medios electrónicos. Para FusaShop, esto hace relevantes los registros verificables de la oferta, aceptación, pedido, pago, comunicaciones y entrega. Cuando se utilicen firmas electrónicas, el Decreto 2364 de 2012 reglamenta los criterios para su uso y confiabilidad. El sistema debe conservar evidencia íntegra y accesible de la aceptación de términos y condiciones, sin asumir que cualquier clic prueba por sí solo todos los elementos del consentimiento (Congreso de Colombia, 1999; Presidencia de la República de Colombia, 2012a).</w:t>
      </w:r>
    </w:p>
    <w:p>
      <w:pPr>
        <w:spacing w:line="480" w:lineRule="auto"/>
        <w:ind w:firstLine="720"/>
      </w:pPr>
      <w:r>
        <w:t>La interfaz debería identificar al vendedor y mostrar las condiciones aplicables antes de finalizar la compra. Debe conservarse un resumen del pedido y la constancia de aceptación en un soporte que permita consulta posterior. Los mensajes y registros deben asociarse a una orden y a una marca de tiempo, protegiendo su integridad y acceso.</w:t>
      </w:r>
    </w:p>
    <w:p>
      <w:pPr>
        <w:pStyle w:val="Heading1"/>
        <w:jc w:val="left"/>
      </w:pPr>
      <w:r>
        <w:t>2. Protección al consumidor y operación de la plataforma</w:t>
      </w:r>
    </w:p>
    <w:p>
      <w:pPr>
        <w:spacing w:line="480" w:lineRule="auto"/>
        <w:ind w:firstLine="720"/>
      </w:pPr>
      <w:r>
        <w:t>La Ley 1480 de 2011 —Estatuto del Consumidor— regula la información, la calidad e idoneidad, las garantías, las ventas a distancia, el retracto y la protección del consumidor en comercio electrónico. Su artículo 50 exige, entre otros deberes, informar el precio total y los costos de envío antes de la compra, mostrar condiciones contractuales, obtener aceptación expresa, enviar acuse de recibo y contar con mecanismos de seguridad. La información de disponibilidad, pago, entrega, retracto y reversión debe corresponder a la operación real (Congreso de Colombia, 2011).</w:t>
      </w:r>
    </w:p>
    <w:p>
      <w:pPr>
        <w:spacing w:line="480" w:lineRule="auto"/>
        <w:ind w:firstLine="720"/>
      </w:pPr>
      <w:r>
        <w:t>La Ley 2439 de 2024 modificó reglas de comercio electrónico de la Ley 1480. Entre los cambios relevantes están la atención y trazabilidad de reclamos, la información de entrega y disponibilidad y el reembolso por retracto en comercio electrónico, que no puede superar 15 días calendario una vez el consumidor cumple las condiciones previstas. Si el producto no está disponible o la entrega excede el plazo convenido —o el máximo legal aplicable cuando no se pactó plazo—, el consumidor puede terminar el contrato y solicitar la devolución de las sumas pagadas; la ley fija para estos supuestos un máximo de 15 días calendario. Para los literales modificados del artículo 50, la ley dispuso entrada en vigor cuatro meses después de su publicación; esos cambios ya están vigentes. La plataforma debe reflejarlos en el checkout, los términos y el servicio posventa (Congreso de Colombia, 2024).</w:t>
      </w:r>
    </w:p>
    <w:p>
      <w:pPr>
        <w:spacing w:line="480" w:lineRule="auto"/>
        <w:ind w:firstLine="720"/>
      </w:pPr>
      <w:r>
        <w:t>El retracto del artículo 47 tiene un término general de cinco días hábiles, pero también excepciones legales, por ejemplo para bienes personalizados o de uso personal, bienes perecederos y servicios cuya prestación ya comenzó con autorización del consumidor, entre otras. El proyecto no debe presentarlo como un derecho universal para toda compra. Debe informar el procedimiento, las excepciones aplicables y quién asume los costos de devolución según la regla vigente.</w:t>
      </w:r>
    </w:p>
    <w:p>
      <w:pPr>
        <w:spacing w:line="480" w:lineRule="auto"/>
        <w:ind w:firstLine="720"/>
      </w:pPr>
      <w:r>
        <w:t>La reversión del pago del artículo 51 y el capítulo 51 del Decreto 1074 de 2015, incorporado por el Decreto 587 de 2016, cubren supuestos como fraude, operación no solicitada, falta de entrega o producto defectuoso o distinto de lo solicitado, cuando se empleó un instrumento de pago electrónico. El procedimiento requiere coordinación entre consumidor, vendedor, emisor y participantes del pago; debe existir un canal de reclamación y evidencia de radicación (Presidencia de la República de Colombia, 2016).</w:t>
      </w:r>
    </w:p>
    <w:p>
      <w:pPr>
        <w:spacing w:line="480" w:lineRule="auto"/>
        <w:ind w:firstLine="720"/>
      </w:pPr>
      <w:r>
        <w:t>El artículo 53 de la Ley 1480 regula los portales de contacto: deben exigir a los oferentes datos que permitan identificarlos y contactarles. Sin embargo, llamar a FusaShop “intermediario” no define por sí solo su responsabilidad. La SIC diferencia un portal que se limita a conectar partes de una plataforma que participa de forma sustancial en la comercialización. Debe describirse con precisión quién vende, quién cobra, quién fija condiciones, quién responde por garantías y cómo se tramitan reclamos (Congreso de Colombia, 2011; SIC, 2022).</w:t>
      </w:r>
    </w:p>
    <w:p>
      <w:pPr>
        <w:keepLines/>
        <w:spacing w:line="480" w:lineRule="auto"/>
        <w:ind w:left="360" w:right="360" w:firstLine="0"/>
      </w:pPr>
      <w:r>
        <w:t>Corrección normativa. El anexo original asignaba al Decreto 1074 los artículos 2.2.2.49.1 a 2.2.2.49.10 como regulación de comercio electrónico. Esa referencia no corresponde: el capítulo 49 trata el Registro Único Nacional de Entidades Operadoras de Libranza. Para ventas a distancia, revisar el capítulo 37, en especial los artículos 2.2.2.37.8 a 2.2.2.37.10; para reversión de pagos, revisar el capítulo 51 del mismo decreto.</w:t>
      </w:r>
    </w:p>
    <w:p>
      <w:pPr>
        <w:pStyle w:val="Heading1"/>
        <w:jc w:val="left"/>
      </w:pPr>
      <w:r>
        <w:t>3. Protección de datos personales</w:t>
      </w:r>
    </w:p>
    <w:p>
      <w:pPr>
        <w:spacing w:line="480" w:lineRule="auto"/>
        <w:ind w:firstLine="720"/>
      </w:pPr>
      <w:r>
        <w:t>La Ley 1581 de 2012 se aplica al tratamiento de datos personales, como nombres, correos, teléfonos, direcciones, datos de comerciantes y datos de navegación vinculados a una persona. El artículo 9 regula la autorización previa e informada, salvo las excepciones legales; el artículo 17 fija deberes del responsable, incluido conservar la prueba de autorización; y el artículo 23 establece sanciones. El Decreto 1377 de 2013 desarrolla aspectos de autorización, políticas, derechos y responsabilidad demostrada y sus reglas están compiladas en el Decreto 1074 de 2015 (Congreso de Colombia, 2012; Presidencia de la República de Colombia, 2013).</w:t>
      </w:r>
    </w:p>
    <w:p>
      <w:pPr>
        <w:spacing w:line="480" w:lineRule="auto"/>
        <w:ind w:firstLine="720"/>
      </w:pPr>
      <w:r>
        <w:t>La plataforma debe definir quién actúa como responsable y encargado —FusaShop, cada comercio y sus proveedores—, para qué trata cada categoría de datos, cuánto tiempo los conserva y con quién los comparte. Debe ofrecer política de tratamiento, aviso de privacidad, mecanismo para consultas y reclamos, controles de acceso y medidas de seguridad. La supresión o revocatoria no es absoluta cuando subsiste un deber legal o contractual de conservación.</w:t>
      </w:r>
    </w:p>
    <w:p>
      <w:pPr>
        <w:keepLines/>
        <w:spacing w:line="480" w:lineRule="auto"/>
        <w:ind w:left="360" w:right="360" w:firstLine="0"/>
      </w:pPr>
      <w:r>
        <w:t>Corrección normativa. La autorización no nace del artículo 17: su requisito general está en el artículo 9. El artículo 17 establece deberes del responsable, entre ellos solicitar y conservar prueba de la autorización cuando corresponda. Es preferible describir los derechos como conocer, actualizar y rectificar datos, presentar consultas y reclamos y solicitar supresión o revocatoria en los casos permitidos, sin tratar “ARCO” como una lista legal exhaustiva.</w:t>
      </w:r>
    </w:p>
    <w:p>
      <w:pPr>
        <w:pStyle w:val="Heading1"/>
        <w:jc w:val="left"/>
      </w:pPr>
      <w:r>
        <w:t>4. Seguridad de la información y delitos informáticos</w:t>
      </w:r>
    </w:p>
    <w:p>
      <w:pPr>
        <w:spacing w:line="480" w:lineRule="auto"/>
        <w:ind w:firstLine="720"/>
      </w:pPr>
      <w:r>
        <w:t>La Ley 1273 de 2009 incorporó al Código Penal conductas contra la confidencialidad, integridad y disponibilidad de datos y sistemas, incluidos acceso abusivo, obstaculización e interceptación ilícita. Es pertinente como marco penal de referencia para una plataforma que almacena cuentas, pedidos y datos personales. No equivale a una especificación técnica completa de controles de ciberseguridad (Congreso de Colombia, 2009).</w:t>
      </w:r>
    </w:p>
    <w:p>
      <w:pPr>
        <w:spacing w:line="480" w:lineRule="auto"/>
        <w:ind w:firstLine="720"/>
      </w:pPr>
      <w:r>
        <w:t>La Ley 1581 exige medidas de seguridad, pero las medidas concretas se diseñan de acuerdo con riesgos y obligaciones del responsable. El proyecto puede describir autenticación, control de roles, cifrado, copias de respaldo, gestión de vulnerabilidades, registros, respuesta a incidentes y minimización de datos como controles técnicos propios. No debe afirmar que una práctica específica queda automáticamente certificada o que elimina el riesgo jurídico.</w:t>
      </w:r>
    </w:p>
    <w:p>
      <w:pPr>
        <w:pStyle w:val="Heading1"/>
        <w:jc w:val="left"/>
      </w:pPr>
      <w:r>
        <w:t>5. Facturación electrónica y responsabilidades tributarias</w:t>
      </w:r>
    </w:p>
    <w:p>
      <w:pPr>
        <w:spacing w:line="480" w:lineRule="auto"/>
        <w:ind w:firstLine="720"/>
      </w:pPr>
      <w:r>
        <w:t>Cuando un vendedor esté obligado a facturar, el marco principal incluye los artículos 615, 616-1 y 617 del Estatuto Tributario, el Decreto 1625 de 2016 y la regulación técnica de la DIAN. La Resolución DIAN 227 de 2025 compiló reglas tributarias externas, incluidas las relacionadas con el sistema de facturación, y debe consultarse junto con las modificaciones vigentes y sus anexos técnicos (DIAN, 2025).</w:t>
      </w:r>
    </w:p>
    <w:p>
      <w:pPr>
        <w:spacing w:line="480" w:lineRule="auto"/>
        <w:ind w:firstLine="720"/>
      </w:pPr>
      <w:r>
        <w:t>La integración con Factus puede transmitir o generar documentos en nombre del facturador, pero no convierte automáticamente a FusaShop en el sujeto obligado ni desplaza las responsabilidades tributarias del vendedor. El proyecto debe precisar quién emite la factura, de quién es el NIT, quién recibe los documentos y cómo se corrigen notas, errores o contingencias tecnológicas. La obligación se determina según la operación y la condición tributaria de cada actor.</w:t>
      </w:r>
    </w:p>
    <w:p>
      <w:pPr>
        <w:pStyle w:val="Heading1"/>
        <w:jc w:val="left"/>
      </w:pPr>
      <w:r>
        <w:t>6. Propiedad intelectual y licencias</w:t>
      </w:r>
    </w:p>
    <w:p>
      <w:pPr>
        <w:spacing w:line="480" w:lineRule="auto"/>
        <w:ind w:firstLine="720"/>
      </w:pPr>
      <w:r>
        <w:t>El marco debe completar la sección de propiedad intelectual que se anuncia en la introducción. La Ley 23 de 1982, modificada entre otras por la Ley 1915 de 2018, y la Decisión Andina 351 de 1993 forman parte del marco de derecho de autor. El software puede estar protegido como obra; también pueden estarlo fotografías, textos, diseños y otros contenidos originales. El proyecto debe documentar titularidad o licencias del código, dependencias de terceros y contenidos cargados por vendedores (Comisión del Acuerdo de Cartagena, 1993; Congreso de Colombia, 1982, 2018b).</w:t>
      </w:r>
    </w:p>
    <w:p>
      <w:pPr>
        <w:spacing w:line="480" w:lineRule="auto"/>
        <w:ind w:firstLine="720"/>
      </w:pPr>
      <w:r>
        <w:t>Los términos para comerciantes deberían exigir que los contenidos subidos tengan autorización de uso, establecer un procedimiento de reporte y retiro de material presuntamente infractor y delimitar la licencia que el vendedor concede a la plataforma. Para paquetes de software de código abierto, deben conservarse avisos y cumplirse las licencias aplicables.</w:t>
      </w:r>
    </w:p>
    <w:p>
      <w:pPr>
        <w:pStyle w:val="Heading1"/>
        <w:jc w:val="left"/>
      </w:pPr>
      <w:r>
        <w:t>7. Emprendimiento y estándares técnicos</w:t>
      </w:r>
    </w:p>
    <w:p>
      <w:pPr>
        <w:keepLines/>
        <w:spacing w:line="480" w:lineRule="auto"/>
        <w:ind w:left="360" w:right="360" w:firstLine="0"/>
      </w:pPr>
      <w:r>
        <w:t>La Ley 2069 de 2020 puede citarse como contexto de fomento empresarial, pero no como fuente directa de obligaciones de una plataforma ni con las afirmaciones del anexo original. Allí se atribuían al artículo 4 la creación del Sistema Nacional de Competitividad e Innovación, al artículo 14 la promoción de plataformas digitales y al artículo 22 la figura BIC. Esas atribuciones son incorrectas: el artículo 4 trata la hipótesis de negocio en marcha, el artículo 14 incorpora bienes de energía solar al Estatuto Tributario y el artículo 22 regula la constitución de cooperativas. Si el proyecto declara como objetivo constituirse BIC, la ley específica es la Ley 1901 de 2018; de lo contrario, no es necesaria para demostrar el cumplimiento operativo de la tienda (Congreso de Colombia, 2020).</w:t>
      </w:r>
    </w:p>
    <w:p>
      <w:pPr>
        <w:spacing w:line="480" w:lineRule="auto"/>
        <w:ind w:firstLine="720"/>
      </w:pPr>
      <w:r>
        <w:t>ISO/IEC 27001:2022 e ISO/IEC 25010:2023 son estándares técnicos voluntarios, salvo que un contrato, una certificación o una disposición aplicable los haga exigibles. La primera proporciona requisitos para un sistema de gestión de seguridad de la información; no basta con enumerar controles para afirmar conformidad. ISO/IEC 25010:2023 es la edición vigente del modelo de calidad de producto y reemplazó a la edición 2011. La ISO/IEC 9126 debe retirarse como referencia actual de métricas de calidad. Mantener los estándares en un apartado separado de la legislación (International Organization for Standardization &amp; International Electrotechnical Commission [ISO/IEC], 2022, 2023).</w:t>
      </w:r>
    </w:p>
    <w:p>
      <w:pPr>
        <w:pStyle w:val="Heading1"/>
        <w:jc w:val="left"/>
      </w:pPr>
      <w:r>
        <w:t>8. Matriz de aplicación al proyecto</w:t>
      </w:r>
    </w:p>
    <w:p>
      <w:pPr>
        <w:spacing w:line="480" w:lineRule="auto"/>
        <w:ind w:firstLine="720"/>
      </w:pPr>
      <w:r>
        <w:t>Antes de cerrar el anexo, el equipo debería dejar trazabilidad entre cada norma, el actor obligado, el proceso de FusaShop, la evidencia verificable y el responsable interno. Como mínimo, revisar estas actividades:</w:t>
      </w:r>
    </w:p>
    <w:p>
      <w:pPr>
        <w:pStyle w:val="ListBullet"/>
        <w:spacing w:line="480" w:lineRule="auto"/>
        <w:ind w:left="720" w:hanging="360"/>
      </w:pPr>
      <w:r>
        <w:t>Checkout: identidad del vendedor, precio total, envío, disponibilidad, términos, aceptación expresa y acuse de recibo.</w:t>
      </w:r>
    </w:p>
    <w:p>
      <w:pPr>
        <w:pStyle w:val="ListBullet"/>
        <w:spacing w:line="480" w:lineRule="auto"/>
        <w:ind w:left="720" w:hanging="360"/>
      </w:pPr>
      <w:r>
        <w:t>Posventa: entrega informada, retracto y sus excepciones, garantías, reversión de pago, canales de PQRS con radicado y devolución de dinero.</w:t>
      </w:r>
    </w:p>
    <w:p>
      <w:pPr>
        <w:pStyle w:val="ListBullet"/>
        <w:spacing w:line="480" w:lineRule="auto"/>
        <w:ind w:left="720" w:hanging="360"/>
      </w:pPr>
      <w:r>
        <w:t>Datos: inventario de datos, finalidades, autorización, roles responsable/encargado, contratos con proveedores, consultas y reclamos, retención y seguridad.</w:t>
      </w:r>
    </w:p>
    <w:p>
      <w:pPr>
        <w:pStyle w:val="ListBullet"/>
        <w:spacing w:line="480" w:lineRule="auto"/>
        <w:ind w:left="720" w:hanging="360"/>
      </w:pPr>
      <w:r>
        <w:t>Facturación: identificación del obligado, NIT emisor, validación DIAN, entrega al comprador y tratamiento de contingencias.</w:t>
      </w:r>
    </w:p>
    <w:p>
      <w:pPr>
        <w:pStyle w:val="ListBullet"/>
        <w:spacing w:line="480" w:lineRule="auto"/>
        <w:ind w:left="720" w:hanging="360"/>
      </w:pPr>
      <w:r>
        <w:t>Propiedad intelectual: titularidad del software, licencias de dependencias y permisos sobre fotografías, marcas y textos.</w:t>
      </w:r>
    </w:p>
    <w:p>
      <w:pPr>
        <w:pStyle w:val="ListBullet"/>
        <w:spacing w:line="480" w:lineRule="auto"/>
        <w:ind w:left="720" w:hanging="360"/>
      </w:pPr>
      <w:r>
        <w:t>Catálogo: si se venden alimentos, cosméticos, productos de salud, alcohol u otras categorías reguladas, agregar las normas sectoriales que correspondan a esos productos y comprobar requisitos de registro, etiquetado o publicidad.</w:t>
      </w:r>
    </w:p>
    <w:p>
      <w:pPr>
        <w:pStyle w:val="ListBullet"/>
        <w:spacing w:line="480" w:lineRule="auto"/>
        <w:ind w:left="720" w:hanging="360"/>
      </w:pPr>
      <w:r>
        <w:t>Rol de plataforma: definir contractualmente si FusaShop es vendedor, proveedor, portal de contacto o desempeña más de uno de esos papeles, y alinear la interfaz y la atención al consumidor con esa realidad.</w:t>
      </w:r>
    </w:p>
    <w:p>
      <w:pPr>
        <w:pStyle w:val="Heading1"/>
        <w:jc w:val="center"/>
      </w:pPr>
      <w:r>
        <w:t>Conclusión</w:t>
      </w:r>
    </w:p>
    <w:p>
      <w:pPr>
        <w:spacing w:line="480" w:lineRule="auto"/>
        <w:ind w:firstLine="720"/>
      </w:pPr>
      <w:r>
        <w:t>El anexo debe actualizarse antes de incorporarlo como versión final del proyecto. Las prioridades son integrar la Ley 2439 de 2024, corregir las referencias al Decreto 1074 y a la Ley 2069, desarrollar obligaciones de datos y facturación y añadir derecho de autor y ciberdelitos. El análisis también debe precisar la posición jurídica de la plataforma: las obligaciones concretas cambian según quién oferta, vende, cobra, factura y atiende al consumidor.</w:t>
      </w:r>
    </w:p>
    <w:p>
      <w:pPr>
        <w:pStyle w:val="Heading1"/>
        <w:jc w:val="center"/>
      </w:pPr>
      <w:r>
        <w:t>Referencias</w:t>
      </w:r>
    </w:p>
    <w:p>
      <w:pPr>
        <w:keepLines/>
        <w:spacing w:line="480" w:lineRule="auto"/>
        <w:ind w:left="720" w:hanging="720"/>
      </w:pPr>
      <w:r>
        <w:rPr>
          <w:i w:val="0"/>
        </w:rPr>
        <w:t xml:space="preserve">Comisión del Acuerdo de Cartagena. (1993). </w:t>
      </w:r>
      <w:r>
        <w:rPr>
          <w:i/>
        </w:rPr>
        <w:t>Decisión 351 de 1993: Régimen común sobre derecho de autor y derechos conexos</w:t>
      </w:r>
      <w:r>
        <w:rPr>
          <w:i w:val="0"/>
        </w:rPr>
        <w:t>. https://www.cancilleria.gov.co/normograma/compilacion/docs/decision_comisioncandina_dec351.htm</w:t>
      </w:r>
    </w:p>
    <w:p>
      <w:pPr>
        <w:keepLines/>
        <w:spacing w:line="480" w:lineRule="auto"/>
        <w:ind w:left="720" w:hanging="720"/>
      </w:pPr>
      <w:r>
        <w:rPr>
          <w:i w:val="0"/>
        </w:rPr>
        <w:t xml:space="preserve">Congreso de Colombia. (1982). </w:t>
      </w:r>
      <w:r>
        <w:rPr>
          <w:i/>
        </w:rPr>
        <w:t>Ley 23 de 1982: Sobre derechos de autor</w:t>
      </w:r>
      <w:r>
        <w:rPr>
          <w:i w:val="0"/>
        </w:rPr>
        <w:t>. https://www.funcionpublica.gov.co/eva/gestornormativo/norma.php?i=3431</w:t>
      </w:r>
    </w:p>
    <w:p>
      <w:pPr>
        <w:keepLines/>
        <w:spacing w:line="480" w:lineRule="auto"/>
        <w:ind w:left="720" w:hanging="720"/>
      </w:pPr>
      <w:r>
        <w:rPr>
          <w:i w:val="0"/>
        </w:rPr>
        <w:t xml:space="preserve">Congreso de Colombia. (1999). </w:t>
      </w:r>
      <w:r>
        <w:rPr>
          <w:i/>
        </w:rPr>
        <w:t>Ley 527 de 1999: Comercio electrónico y mensajes de datos</w:t>
      </w:r>
      <w:r>
        <w:rPr>
          <w:i w:val="0"/>
        </w:rPr>
        <w:t>. https://www.funcionpublica.gov.co/eva/gestornormativo/norma.php?i=4276</w:t>
      </w:r>
    </w:p>
    <w:p>
      <w:pPr>
        <w:keepLines/>
        <w:spacing w:line="480" w:lineRule="auto"/>
        <w:ind w:left="720" w:hanging="720"/>
      </w:pPr>
      <w:r>
        <w:rPr>
          <w:i w:val="0"/>
        </w:rPr>
        <w:t xml:space="preserve">Congreso de Colombia. (2009). </w:t>
      </w:r>
      <w:r>
        <w:rPr>
          <w:i/>
        </w:rPr>
        <w:t>Ley 1273 de 2009: Protección de la información y de los datos</w:t>
      </w:r>
      <w:r>
        <w:rPr>
          <w:i w:val="0"/>
        </w:rPr>
        <w:t>. https://www.funcionpublica.gov.co/eva/gestornormativo/norma.php?i=34492</w:t>
      </w:r>
    </w:p>
    <w:p>
      <w:pPr>
        <w:keepLines/>
        <w:spacing w:line="480" w:lineRule="auto"/>
        <w:ind w:left="720" w:hanging="720"/>
      </w:pPr>
      <w:r>
        <w:rPr>
          <w:i w:val="0"/>
        </w:rPr>
        <w:t xml:space="preserve">Congreso de Colombia. (2011). </w:t>
      </w:r>
      <w:r>
        <w:rPr>
          <w:i/>
        </w:rPr>
        <w:t>Ley 1480 de 2011: Estatuto del consumidor</w:t>
      </w:r>
      <w:r>
        <w:rPr>
          <w:i w:val="0"/>
        </w:rPr>
        <w:t>. https://www.funcionpublica.gov.co/eva/gestornormativo/norma.php?i=44306</w:t>
      </w:r>
    </w:p>
    <w:p>
      <w:pPr>
        <w:keepLines/>
        <w:spacing w:line="480" w:lineRule="auto"/>
        <w:ind w:left="720" w:hanging="720"/>
      </w:pPr>
      <w:r>
        <w:rPr>
          <w:i w:val="0"/>
        </w:rPr>
        <w:t xml:space="preserve">Congreso de Colombia. (2012). </w:t>
      </w:r>
      <w:r>
        <w:rPr>
          <w:i/>
        </w:rPr>
        <w:t>Ley 1581 de 2012: Régimen general de protección de datos personales</w:t>
      </w:r>
      <w:r>
        <w:rPr>
          <w:i w:val="0"/>
        </w:rPr>
        <w:t>. https://www.funcionpublica.gov.co/eva/gestornormativo/norma.php?i=49981</w:t>
      </w:r>
    </w:p>
    <w:p>
      <w:pPr>
        <w:keepLines/>
        <w:spacing w:line="480" w:lineRule="auto"/>
        <w:ind w:left="720" w:hanging="720"/>
      </w:pPr>
      <w:r>
        <w:t xml:space="preserve">Congreso de Colombia. (2018a). </w:t>
      </w:r>
      <w:r>
        <w:rPr>
          <w:i/>
        </w:rPr>
        <w:t>Ley 1901 de 2018: Sociedades comerciales de beneficio e interés colectivo (BIC)</w:t>
      </w:r>
      <w:r>
        <w:t>. https://www.funcionpublica.gov.co/eva/gestornormativo/norma.php?i=86982</w:t>
      </w:r>
    </w:p>
    <w:p>
      <w:pPr>
        <w:keepLines/>
        <w:spacing w:line="480" w:lineRule="auto"/>
        <w:ind w:left="720" w:hanging="720"/>
      </w:pPr>
      <w:r>
        <w:t xml:space="preserve">Congreso de Colombia. (2018b). </w:t>
      </w:r>
      <w:r>
        <w:rPr>
          <w:i/>
        </w:rPr>
        <w:t>Ley 1915 de 2018: Modifica la Ley 23 de 1982 y establece disposiciones sobre derecho de autor</w:t>
      </w:r>
      <w:r>
        <w:t>. https://www.funcionpublica.gov.co/eva/gestornormativo/norma.php?i=87419</w:t>
      </w:r>
    </w:p>
    <w:p>
      <w:pPr>
        <w:keepLines/>
        <w:spacing w:line="480" w:lineRule="auto"/>
        <w:ind w:left="720" w:hanging="720"/>
      </w:pPr>
      <w:r>
        <w:rPr>
          <w:i w:val="0"/>
        </w:rPr>
        <w:t xml:space="preserve">Congreso de Colombia. (2020). </w:t>
      </w:r>
      <w:r>
        <w:rPr>
          <w:i/>
        </w:rPr>
        <w:t>Ley 2069 de 2020: Impulsa el emprendimiento en Colombia</w:t>
      </w:r>
      <w:r>
        <w:rPr>
          <w:i w:val="0"/>
        </w:rPr>
        <w:t>. https://www.funcionpublica.gov.co/eva/gestornormativo/norma.php?i=160966</w:t>
      </w:r>
    </w:p>
    <w:p>
      <w:pPr>
        <w:keepLines/>
        <w:spacing w:line="480" w:lineRule="auto"/>
        <w:ind w:left="720" w:hanging="720"/>
      </w:pPr>
      <w:r>
        <w:rPr>
          <w:i w:val="0"/>
        </w:rPr>
        <w:t xml:space="preserve">Congreso de Colombia. (2024). </w:t>
      </w:r>
      <w:r>
        <w:rPr>
          <w:i/>
        </w:rPr>
        <w:t>Ley 2439 de 2024: Medidas de protección al consumidor de comercio electrónico</w:t>
      </w:r>
      <w:r>
        <w:rPr>
          <w:i w:val="0"/>
        </w:rPr>
        <w:t>. https://www.funcionpublica.gov.co/eva/gestornormativo/norma_pdf.php?i=257116</w:t>
      </w:r>
    </w:p>
    <w:p>
      <w:pPr>
        <w:keepLines/>
        <w:spacing w:line="480" w:lineRule="auto"/>
        <w:ind w:left="720" w:hanging="720"/>
      </w:pPr>
      <w:r>
        <w:rPr>
          <w:i w:val="0"/>
        </w:rPr>
        <w:t xml:space="preserve">Dirección de Impuestos y Aduanas Nacionales. (2025). </w:t>
      </w:r>
      <w:r>
        <w:rPr>
          <w:i/>
        </w:rPr>
        <w:t>Resolución 227 de 2025: Resolución única en materia tributaria, aduanera y cambiaria</w:t>
      </w:r>
      <w:r>
        <w:rPr>
          <w:i w:val="0"/>
        </w:rPr>
        <w:t>. https://normograma.dian.gov.co/dian/compilacion/docs/resolucion_dian_0227_2025.htm</w:t>
      </w:r>
    </w:p>
    <w:p>
      <w:pPr>
        <w:keepLines/>
        <w:spacing w:line="480" w:lineRule="auto"/>
        <w:ind w:left="720" w:hanging="720"/>
      </w:pPr>
      <w:r>
        <w:rPr>
          <w:i w:val="0"/>
        </w:rPr>
        <w:t xml:space="preserve">International Organization for Standardization, &amp; International Electrotechnical Commission. (2022). </w:t>
      </w:r>
      <w:r>
        <w:rPr>
          <w:i/>
        </w:rPr>
        <w:t>ISO/IEC 27001:2022 Information security, cybersecurity and privacy protection—Information security management systems—Requirements</w:t>
      </w:r>
      <w:r>
        <w:rPr>
          <w:i w:val="0"/>
        </w:rPr>
        <w:t>. https://www.iso.org/standard/27001</w:t>
      </w:r>
    </w:p>
    <w:p>
      <w:pPr>
        <w:keepLines/>
        <w:spacing w:line="480" w:lineRule="auto"/>
        <w:ind w:left="720" w:hanging="720"/>
      </w:pPr>
      <w:r>
        <w:rPr>
          <w:i w:val="0"/>
        </w:rPr>
        <w:t xml:space="preserve">International Organization for Standardization, &amp; International Electrotechnical Commission. (2023). </w:t>
      </w:r>
      <w:r>
        <w:rPr>
          <w:i/>
        </w:rPr>
        <w:t>ISO/IEC 25010:2023 Systems and software engineering—Systems and software Quality Requirements and Evaluation (SQuaRE)—Product quality model</w:t>
      </w:r>
      <w:r>
        <w:rPr>
          <w:i w:val="0"/>
        </w:rPr>
        <w:t>. https://www.iso.org/standard/78176.html</w:t>
      </w:r>
    </w:p>
    <w:p>
      <w:pPr>
        <w:keepLines/>
        <w:spacing w:line="480" w:lineRule="auto"/>
        <w:ind w:left="720" w:hanging="720"/>
      </w:pPr>
      <w:r>
        <w:rPr>
          <w:i w:val="0"/>
        </w:rPr>
        <w:t xml:space="preserve">Presidencia de la República de Colombia. (2012a). </w:t>
      </w:r>
      <w:r>
        <w:rPr>
          <w:i/>
        </w:rPr>
        <w:t>Decreto 2364 de 2012: Firma electrónica</w:t>
      </w:r>
      <w:r>
        <w:rPr>
          <w:i w:val="0"/>
        </w:rPr>
        <w:t>. https://www.funcionpublica.gov.co/eva/gestornormativo/norma.php?i=50583</w:t>
      </w:r>
    </w:p>
    <w:p>
      <w:pPr>
        <w:keepLines/>
        <w:spacing w:line="480" w:lineRule="auto"/>
        <w:ind w:left="720" w:hanging="720"/>
      </w:pPr>
      <w:r>
        <w:rPr>
          <w:i w:val="0"/>
        </w:rPr>
        <w:t xml:space="preserve">Presidencia de la República de Colombia. (2013). </w:t>
      </w:r>
      <w:r>
        <w:rPr>
          <w:i/>
        </w:rPr>
        <w:t>Decreto 1377 de 2013: Reglamentación parcial de la Ley 1581 de 2012</w:t>
      </w:r>
      <w:r>
        <w:rPr>
          <w:i w:val="0"/>
        </w:rPr>
        <w:t>. https://www.funcionpublica.gov.co/eva/gestornormativo/norma.php?i=53646</w:t>
      </w:r>
    </w:p>
    <w:p>
      <w:pPr>
        <w:keepLines/>
        <w:spacing w:line="480" w:lineRule="auto"/>
        <w:ind w:left="720" w:hanging="720"/>
      </w:pPr>
      <w:r>
        <w:rPr>
          <w:i w:val="0"/>
        </w:rPr>
        <w:t xml:space="preserve">Presidencia de la República de Colombia. (2015). </w:t>
      </w:r>
      <w:r>
        <w:rPr>
          <w:i/>
        </w:rPr>
        <w:t>Decreto 1074 de 2015: Decreto Único Reglamentario del Sector Comercio, Industria y Turismo</w:t>
      </w:r>
      <w:r>
        <w:rPr>
          <w:i w:val="0"/>
        </w:rPr>
        <w:t>. https://www.funcionpublica.gov.co/eva/gestornormativo/norma.php?i=76608</w:t>
      </w:r>
    </w:p>
    <w:p>
      <w:pPr>
        <w:keepLines/>
        <w:spacing w:line="480" w:lineRule="auto"/>
        <w:ind w:left="720" w:hanging="720"/>
      </w:pPr>
      <w:r>
        <w:rPr>
          <w:i w:val="0"/>
        </w:rPr>
        <w:t xml:space="preserve">Presidencia de la República de Colombia. (2016). </w:t>
      </w:r>
      <w:r>
        <w:rPr>
          <w:i/>
        </w:rPr>
        <w:t>Decreto 587 de 2016: Reversión de pagos en comercio electrónico</w:t>
      </w:r>
      <w:r>
        <w:rPr>
          <w:i w:val="0"/>
        </w:rPr>
        <w:t>. https://www.funcionpublica.gov.co/eva/gestornormativo/norma.php?i=69037</w:t>
      </w:r>
    </w:p>
    <w:p>
      <w:pPr>
        <w:keepLines/>
        <w:spacing w:line="480" w:lineRule="auto"/>
        <w:ind w:left="720" w:hanging="720"/>
      </w:pPr>
      <w:r>
        <w:rPr>
          <w:i w:val="0"/>
        </w:rPr>
        <w:t xml:space="preserve">Superintendencia de Industria y Comercio. (2022). </w:t>
      </w:r>
      <w:r>
        <w:rPr>
          <w:i/>
        </w:rPr>
        <w:t>Redes sociales como portales de contacto</w:t>
      </w:r>
      <w:r>
        <w:rPr>
          <w:i w:val="0"/>
        </w:rPr>
        <w:t>. https://sedeelectronica.sic.gov.co/publicaciones/boletin-juridico/concepto/redes-sociales-como-portales-de-contacto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865B"/>
        <w:sz w:val="16"/>
      </w:rPr>
      <w:t>FUSASHOP  |  ANEXO 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J. Marco legal del proyecto FusaShop</dc:title>
  <dc:subject>Marco normativo colombiano para una plataforma de comercio electrónico</dc:subject>
  <dc:creator>Proyecto FusaShop</dc:creator>
  <cp:keywords/>
  <dc:description>generated by python-docx</dc:description>
  <cp:lastModifiedBy/>
  <cp:revision>1</cp:revision>
  <dcterms:created xsi:type="dcterms:W3CDTF">2013-12-23T23:15:00Z</dcterms:created>
  <dcterms:modified xsi:type="dcterms:W3CDTF">2013-12-23T23:15:00Z</dcterms:modified>
  <cp:category/>
</cp:coreProperties>
</file>