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6"/>
          <w:szCs w:val="36"/>
        </w:rPr>
        <w:t xml:space="preserve">Persistent Homology and Its Application to</w:t>
      </w:r>
    </w:p>
    <w:p>
      <w:pPr>
        <w:spacing w:after="100"/>
        <w:jc w:val="center"/>
      </w:pPr>
      <w:r>
        <w:rPr>
          <w:rFonts w:ascii="Times New Roman" w:cs="Times New Roman" w:eastAsia="Times New Roman" w:hAnsi="Times New Roman"/>
          <w:b/>
          <w:bCs/>
          <w:sz w:val="36"/>
          <w:szCs w:val="36"/>
        </w:rPr>
        <w:t xml:space="preserve">Geological Analog Retrieval</w:t>
      </w:r>
    </w:p>
    <w:p>
      <w:pPr>
        <w:spacing w:after="60"/>
        <w:jc w:val="center"/>
      </w:pPr>
      <w:r>
        <w:rPr>
          <w:rFonts w:ascii="Times New Roman" w:cs="Times New Roman" w:eastAsia="Times New Roman" w:hAnsi="Times New Roman"/>
          <w:i/>
          <w:iCs/>
          <w:sz w:val="24"/>
          <w:szCs w:val="24"/>
        </w:rPr>
        <w:t xml:space="preserve">The Topological Pathway of the Qualia Convergence Framework</w:t>
      </w:r>
    </w:p>
    <w:p>
      <w:pPr>
        <w:spacing w:after="60"/>
        <w:jc w:val="center"/>
      </w:pPr>
      <w:r>
        <w:rPr>
          <w:rFonts w:ascii="Times New Roman" w:cs="Times New Roman" w:eastAsia="Times New Roman" w:hAnsi="Times New Roman"/>
          <w:sz w:val="24"/>
          <w:szCs w:val="24"/>
        </w:rPr>
        <w:t xml:space="preserve">Corey</w:t>
      </w:r>
    </w:p>
    <w:p>
      <w:pPr>
        <w:spacing w:after="400"/>
        <w:jc w:val="center"/>
      </w:pPr>
      <w:r>
        <w:rPr>
          <w:rFonts w:ascii="Times New Roman" w:cs="Times New Roman" w:eastAsia="Times New Roman" w:hAnsi="Times New Roman"/>
          <w:sz w:val="24"/>
          <w:szCs w:val="24"/>
        </w:rPr>
        <w:t xml:space="preserve">February 2026</w:t>
      </w:r>
    </w:p>
    <w:p>
      <w:pPr>
        <w:spacing w:after="200" w:line="276"/>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This paper introduces persistent homology (PH), a central tool in topological data analysis, and details its role within the Qualia Convergence Framework for depositional analog retrieval. Persistent homology provides a mathematically rigorous method for extracting multi-scale topological features—connected components, loops, and voids—from complex data, with provable stability guarantees under perturbation. We present the core mathematical machinery following the pedagogical framework of Kemmea and Agyingi (2025), then demonstrate how PH serves as the topological pathway in a three-pathway architecture designed to answer a fundamental question in subsurface characterization: </w:t>
      </w:r>
      <w:r>
        <w:rPr>
          <w:rFonts w:ascii="Times New Roman" w:cs="Times New Roman" w:eastAsia="Times New Roman" w:hAnsi="Times New Roman"/>
          <w:i/>
          <w:iCs/>
          <w:sz w:val="24"/>
          <w:szCs w:val="24"/>
        </w:rPr>
        <w:t xml:space="preserve">What is the essence of a geological image?</w:t>
      </w:r>
      <w:r>
        <w:rPr>
          <w:rFonts w:ascii="Times New Roman" w:cs="Times New Roman" w:eastAsia="Times New Roman" w:hAnsi="Times New Roman"/>
          <w:sz w:val="24"/>
          <w:szCs w:val="24"/>
        </w:rPr>
        <w:t xml:space="preserve"> We describe the specific hypothesis that first-dimensional persistent homology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discriminates braided from meandering channel architectures even when classical geostatistical descriptors are matched, and outline the implementation strategy using cubical complexes, persistence-based vectorization, and the Leave-One-Generator-Out (LOGO) validation protocol.</w:t>
      </w:r>
    </w:p>
    <w:p>
      <w:pPr>
        <w:pStyle w:val="Heading1"/>
        <w:spacing w:before="360" w:after="200"/>
      </w:pPr>
      <w:r>
        <w:rPr>
          <w:rFonts w:ascii="Times New Roman" w:cs="Times New Roman" w:eastAsia="Times New Roman" w:hAnsi="Times New Roman"/>
          <w:b/>
          <w:bCs/>
          <w:sz w:val="32"/>
          <w:szCs w:val="32"/>
        </w:rPr>
        <w:t xml:space="preserve">1. Introduction to Persistent Homology</w:t>
      </w:r>
    </w:p>
    <w:p>
      <w:pPr>
        <w:pStyle w:val="Heading2"/>
        <w:spacing w:before="240" w:after="200"/>
      </w:pPr>
      <w:r>
        <w:rPr>
          <w:rFonts w:ascii="Times New Roman" w:cs="Times New Roman" w:eastAsia="Times New Roman" w:hAnsi="Times New Roman"/>
          <w:b/>
          <w:bCs/>
          <w:sz w:val="28"/>
          <w:szCs w:val="28"/>
        </w:rPr>
        <w:t xml:space="preserve">1.1 From Topology to Data Analysis</w:t>
      </w:r>
    </w:p>
    <w:p>
      <w:pPr>
        <w:spacing w:after="200" w:line="276"/>
      </w:pPr>
      <w:r>
        <w:rPr>
          <w:rFonts w:ascii="Times New Roman" w:cs="Times New Roman" w:eastAsia="Times New Roman" w:hAnsi="Times New Roman"/>
          <w:sz w:val="24"/>
          <w:szCs w:val="24"/>
        </w:rPr>
        <w:t xml:space="preserve">Topology is the branch of mathematics concerned with properties of shapes that are preserved under continuous deformations—stretching, bending, and twisting—but not tearing or gluing. The classical example is the homeomorphism between a coffee mug and a doughnut: both possess exactly one hole, making them topologically equivalent despite their geometric dissimilarity (Kemmea &amp; Agyingi, 2025). This focus on </w:t>
      </w:r>
      <w:r>
        <w:rPr>
          <w:rFonts w:ascii="Times New Roman" w:cs="Times New Roman" w:eastAsia="Times New Roman" w:hAnsi="Times New Roman"/>
          <w:i/>
          <w:iCs/>
          <w:sz w:val="24"/>
          <w:szCs w:val="24"/>
        </w:rPr>
        <w:t xml:space="preserve">invariant structure</w:t>
      </w:r>
      <w:r>
        <w:rPr>
          <w:rFonts w:ascii="Times New Roman" w:cs="Times New Roman" w:eastAsia="Times New Roman" w:hAnsi="Times New Roman"/>
          <w:sz w:val="24"/>
          <w:szCs w:val="24"/>
        </w:rPr>
        <w:t xml:space="preserve"> rather than metric detail is precisely what makes topology powerful for data analysis.</w:t>
      </w:r>
    </w:p>
    <w:p>
      <w:pPr>
        <w:spacing w:after="200" w:line="276"/>
      </w:pPr>
      <w:r>
        <w:rPr>
          <w:rFonts w:ascii="Times New Roman" w:cs="Times New Roman" w:eastAsia="Times New Roman" w:hAnsi="Times New Roman"/>
          <w:sz w:val="24"/>
          <w:szCs w:val="24"/>
        </w:rPr>
        <w:t xml:space="preserve">Topological Data Analysis (TDA) emerged from the recognition that real-world datasets—point clouds sampled from unknown manifolds, images of complex structures, time series of dynamical systems—possess intrinsic shape that carries meaningful information beyond what statistical summaries capture. Conventional machine learning approaches, whether supervised or unsupervised, rely primarily on statistical relationships, local density estimations, or distance-based measures within datasets (Carlsson, 2009). These methods effectively capture local structure but often fail to detect global topological features such as loops, tunnels, or voids that may encode essential characteristics of the data-generating process.</w:t>
      </w:r>
    </w:p>
    <w:p>
      <w:pPr>
        <w:spacing w:after="200" w:line="276"/>
      </w:pPr>
      <w:r>
        <w:rPr>
          <w:rFonts w:ascii="Times New Roman" w:cs="Times New Roman" w:eastAsia="Times New Roman" w:hAnsi="Times New Roman"/>
          <w:sz w:val="24"/>
          <w:szCs w:val="24"/>
        </w:rPr>
        <w:t xml:space="preserve">Persistent homology (PH), the central computational tool of TDA, addresses this limitation. Developed through foundational work by Edelsbrunner, Letscher, and Zomorodian (2002) and Zomorodian and Carlsson (2005), PH constructs a sequence of nested topological spaces from data and tracks how topological features—connected components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loops and cycles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and enclosed voids (H</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)—are born and die across multiple scales. Features that persist over a wide range of scales are interpreted as genuine structural properties; those that appear and vanish quickly are attributed to noise.</w:t>
      </w:r>
    </w:p>
    <w:p>
      <w:pPr>
        <w:pStyle w:val="Heading2"/>
        <w:spacing w:before="240" w:after="200"/>
      </w:pPr>
      <w:r>
        <w:rPr>
          <w:rFonts w:ascii="Times New Roman" w:cs="Times New Roman" w:eastAsia="Times New Roman" w:hAnsi="Times New Roman"/>
          <w:b/>
          <w:bCs/>
          <w:sz w:val="28"/>
          <w:szCs w:val="28"/>
        </w:rPr>
        <w:t xml:space="preserve">1.2 Simplicial Complexes: Building Shapes from Data</w:t>
      </w:r>
    </w:p>
    <w:p>
      <w:pPr>
        <w:spacing w:after="200" w:line="276"/>
      </w:pPr>
      <w:r>
        <w:rPr>
          <w:rFonts w:ascii="Times New Roman" w:cs="Times New Roman" w:eastAsia="Times New Roman" w:hAnsi="Times New Roman"/>
          <w:sz w:val="24"/>
          <w:szCs w:val="24"/>
        </w:rPr>
        <w:t xml:space="preserve">The bridge from raw data to topological analysis is the </w:t>
      </w:r>
      <w:r>
        <w:rPr>
          <w:rFonts w:ascii="Times New Roman" w:cs="Times New Roman" w:eastAsia="Times New Roman" w:hAnsi="Times New Roman"/>
          <w:i/>
          <w:iCs/>
          <w:sz w:val="24"/>
          <w:szCs w:val="24"/>
        </w:rPr>
        <w:t xml:space="preserve">simplicial complex</w:t>
      </w:r>
      <w:r>
        <w:rPr>
          <w:rFonts w:ascii="Times New Roman" w:cs="Times New Roman" w:eastAsia="Times New Roman" w:hAnsi="Times New Roman"/>
          <w:sz w:val="24"/>
          <w:szCs w:val="24"/>
        </w:rPr>
        <w:t xml:space="preserve">, a combinatorial structure that systematically builds higher-dimensional shapes from points. A 0-simplex is a point, a 1-simplex is an edge connecting two points, a 2-simplex is a filled triangle, and a 3-simplex is a solid tetrahedron. An abstract simplicial complex K over a vertex set V is a collection of non-empty subsets of V satisfying the </w:t>
      </w:r>
      <w:r>
        <w:rPr>
          <w:rFonts w:ascii="Times New Roman" w:cs="Times New Roman" w:eastAsia="Times New Roman" w:hAnsi="Times New Roman"/>
          <w:i/>
          <w:iCs/>
          <w:sz w:val="24"/>
          <w:szCs w:val="24"/>
        </w:rPr>
        <w:t xml:space="preserve">closure property</w:t>
      </w:r>
      <w:r>
        <w:rPr>
          <w:rFonts w:ascii="Times New Roman" w:cs="Times New Roman" w:eastAsia="Times New Roman" w:hAnsi="Times New Roman"/>
          <w:sz w:val="24"/>
          <w:szCs w:val="24"/>
        </w:rPr>
        <w:t xml:space="preserve">: if a simplex σ belongs to K, then every subset (face) of σ also belongs to K (Kemmea &amp; Agyingi, 2025). Intuitively, including a triangle requires including all three of its edges and all three of its vertices.</w:t>
      </w:r>
    </w:p>
    <w:p>
      <w:pPr>
        <w:spacing w:after="200" w:line="276"/>
      </w:pPr>
      <w:r>
        <w:rPr>
          <w:rFonts w:ascii="Times New Roman" w:cs="Times New Roman" w:eastAsia="Times New Roman" w:hAnsi="Times New Roman"/>
          <w:sz w:val="24"/>
          <w:szCs w:val="24"/>
        </w:rPr>
        <w:t xml:space="preserve">For point cloud data embedded in a metric space, simplicial complexes are constructed by connecting points based on proximity. Given a threshold distance ε, two points are connected by an edge if their pairwise distance is at most ε. When all pairwise distances among a group of points satisfy this threshold, the corresponding higher-dimensional simplex is included. The most common construction, the Vietoris–Rips complex, includes a k-simplex whenever all (k+1) vertices are pairwise within distance ε (Otter et al., 2017). For image data organized on pixel grids, an alternative construction—the </w:t>
      </w:r>
      <w:r>
        <w:rPr>
          <w:rFonts w:ascii="Times New Roman" w:cs="Times New Roman" w:eastAsia="Times New Roman" w:hAnsi="Times New Roman"/>
          <w:i/>
          <w:iCs/>
          <w:sz w:val="24"/>
          <w:szCs w:val="24"/>
        </w:rPr>
        <w:t xml:space="preserve">cubical complex</w:t>
      </w:r>
      <w:r>
        <w:rPr>
          <w:rFonts w:ascii="Times New Roman" w:cs="Times New Roman" w:eastAsia="Times New Roman" w:hAnsi="Times New Roman"/>
          <w:sz w:val="24"/>
          <w:szCs w:val="24"/>
        </w:rPr>
        <w:t xml:space="preserve">—is computationally more natural and efficient, as we discuss in Part II.</w:t>
      </w:r>
    </w:p>
    <w:p>
      <w:pPr>
        <w:pStyle w:val="Heading2"/>
        <w:spacing w:before="240" w:after="200"/>
      </w:pPr>
      <w:r>
        <w:rPr>
          <w:rFonts w:ascii="Times New Roman" w:cs="Times New Roman" w:eastAsia="Times New Roman" w:hAnsi="Times New Roman"/>
          <w:b/>
          <w:bCs/>
          <w:sz w:val="28"/>
          <w:szCs w:val="28"/>
        </w:rPr>
        <w:t xml:space="preserve">1.3 Homology: Detecting Holes Algebraically</w:t>
      </w:r>
    </w:p>
    <w:p>
      <w:pPr>
        <w:spacing w:after="200" w:line="276"/>
      </w:pPr>
      <w:r>
        <w:rPr>
          <w:rFonts w:ascii="Times New Roman" w:cs="Times New Roman" w:eastAsia="Times New Roman" w:hAnsi="Times New Roman"/>
          <w:sz w:val="24"/>
          <w:szCs w:val="24"/>
        </w:rPr>
        <w:t xml:space="preserve">Homology translates the geometric question “how many holes does this shape have?” into linear algebra. For each dimension k, the k-simplices of a complex K generate a vector space C</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(K) called the k</w:t>
      </w:r>
      <w:r>
        <w:rPr>
          <w:rFonts w:ascii="Times New Roman" w:cs="Times New Roman" w:eastAsia="Times New Roman" w:hAnsi="Times New Roman"/>
          <w:sz w:val="24"/>
          <w:szCs w:val="24"/>
          <w:vertAlign w:val="superscript"/>
        </w:rPr>
        <w:t xml:space="preserve">th</w:t>
      </w:r>
      <w:r>
        <w:rPr>
          <w:rFonts w:ascii="Times New Roman" w:cs="Times New Roman" w:eastAsia="Times New Roman" w:hAnsi="Times New Roman"/>
          <w:sz w:val="24"/>
          <w:szCs w:val="24"/>
        </w:rPr>
        <w:t xml:space="preserve"> chain group, where elements (k-chains) are formal sums of k-simplices with coefficients in ℤ</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{0, 1} (Kemmea &amp; Agyingi, 2025). The </w:t>
      </w:r>
      <w:r>
        <w:rPr>
          <w:rFonts w:ascii="Times New Roman" w:cs="Times New Roman" w:eastAsia="Times New Roman" w:hAnsi="Times New Roman"/>
          <w:i/>
          <w:iCs/>
          <w:sz w:val="24"/>
          <w:szCs w:val="24"/>
        </w:rPr>
        <w:t xml:space="preserve">boundary map</w:t>
      </w:r>
      <w:r>
        <w:rPr>
          <w:rFonts w:ascii="Times New Roman" w:cs="Times New Roman" w:eastAsia="Times New Roman" w:hAnsi="Times New Roman"/>
          <w:sz w:val="24"/>
          <w:szCs w:val="24"/>
        </w:rPr>
        <w:t xml:space="preserve"> δ</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C</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C</w:t>
      </w:r>
      <w:r>
        <w:rPr>
          <w:rFonts w:ascii="Times New Roman" w:cs="Times New Roman" w:eastAsia="Times New Roman" w:hAnsi="Times New Roman"/>
          <w:sz w:val="24"/>
          <w:szCs w:val="24"/>
          <w:vertAlign w:val="subscript"/>
        </w:rPr>
        <w:t xml:space="preserve">k−1</w:t>
      </w:r>
      <w:r>
        <w:rPr>
          <w:rFonts w:ascii="Times New Roman" w:cs="Times New Roman" w:eastAsia="Times New Roman" w:hAnsi="Times New Roman"/>
          <w:sz w:val="24"/>
          <w:szCs w:val="24"/>
        </w:rPr>
        <w:t xml:space="preserve"> sends each k-simplex to the sum of its (k−1)-dimensional faces. Over ℤ</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signs are suppressed and cancellation occurs when a face appears an even number of times. A fundamental property is that applying boundary maps twice always yields zero: δ</w:t>
      </w:r>
      <w:r>
        <w:rPr>
          <w:rFonts w:ascii="Times New Roman" w:cs="Times New Roman" w:eastAsia="Times New Roman" w:hAnsi="Times New Roman"/>
          <w:sz w:val="24"/>
          <w:szCs w:val="24"/>
          <w:vertAlign w:val="subscript"/>
        </w:rPr>
        <w:t xml:space="preserve">k−1</w:t>
      </w:r>
      <w:r>
        <w:rPr>
          <w:rFonts w:ascii="Times New Roman" w:cs="Times New Roman" w:eastAsia="Times New Roman" w:hAnsi="Times New Roman"/>
          <w:sz w:val="24"/>
          <w:szCs w:val="24"/>
        </w:rPr>
        <w:t xml:space="preserve"> ∘ δ</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0. This means every boundary is automatically a cycle, but not every cycle is a boundary.</w:t>
      </w:r>
    </w:p>
    <w:p>
      <w:pPr>
        <w:spacing w:after="200" w:line="276"/>
      </w:pPr>
      <w:r>
        <w:rPr>
          <w:rFonts w:ascii="Times New Roman" w:cs="Times New Roman" w:eastAsia="Times New Roman" w:hAnsi="Times New Roman"/>
          <w:sz w:val="24"/>
          <w:szCs w:val="24"/>
        </w:rPr>
        <w:t xml:space="preserve">The k</w:t>
      </w:r>
      <w:r>
        <w:rPr>
          <w:rFonts w:ascii="Times New Roman" w:cs="Times New Roman" w:eastAsia="Times New Roman" w:hAnsi="Times New Roman"/>
          <w:sz w:val="24"/>
          <w:szCs w:val="24"/>
          <w:vertAlign w:val="superscript"/>
        </w:rPr>
        <w:t xml:space="preserve">th</w:t>
      </w:r>
      <w:r>
        <w:rPr>
          <w:rFonts w:ascii="Times New Roman" w:cs="Times New Roman" w:eastAsia="Times New Roman" w:hAnsi="Times New Roman"/>
          <w:sz w:val="24"/>
          <w:szCs w:val="24"/>
        </w:rPr>
        <w:t xml:space="preserve"> homology group H</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(K) = ker(δ</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im(δ</w:t>
      </w:r>
      <w:r>
        <w:rPr>
          <w:rFonts w:ascii="Times New Roman" w:cs="Times New Roman" w:eastAsia="Times New Roman" w:hAnsi="Times New Roman"/>
          <w:sz w:val="24"/>
          <w:szCs w:val="24"/>
          <w:vertAlign w:val="subscript"/>
        </w:rPr>
        <w:t xml:space="preserve">k+1</w:t>
      </w:r>
      <w:r>
        <w:rPr>
          <w:rFonts w:ascii="Times New Roman" w:cs="Times New Roman" w:eastAsia="Times New Roman" w:hAnsi="Times New Roman"/>
          <w:sz w:val="24"/>
          <w:szCs w:val="24"/>
        </w:rPr>
        <w:t xml:space="preserve">) captures precisely the k-dimensional cycles that are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boundaries of (k+1)-dimensional simplices—these are the “holes” in dimension k. The dimension of H</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is the k</w:t>
      </w:r>
      <w:r>
        <w:rPr>
          <w:rFonts w:ascii="Times New Roman" w:cs="Times New Roman" w:eastAsia="Times New Roman" w:hAnsi="Times New Roman"/>
          <w:sz w:val="24"/>
          <w:szCs w:val="24"/>
          <w:vertAlign w:val="superscript"/>
        </w:rPr>
        <w:t xml:space="preserve">th</w:t>
      </w:r>
      <w:r>
        <w:rPr>
          <w:rFonts w:ascii="Times New Roman" w:cs="Times New Roman" w:eastAsia="Times New Roman" w:hAnsi="Times New Roman"/>
          <w:sz w:val="24"/>
          <w:szCs w:val="24"/>
        </w:rPr>
        <w:t xml:space="preserve"> Betti number β</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For geological images: 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counts isolated connected regions (e.g., separate sand bodies), 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counts independent loops or cycles (e.g., closed channel networks, oxbow lakes), and β</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counts enclosed voids.</w:t>
      </w:r>
    </w:p>
    <w:p>
      <w:pPr>
        <w:pStyle w:val="Heading2"/>
        <w:spacing w:before="240" w:after="200"/>
      </w:pPr>
      <w:r>
        <w:rPr>
          <w:rFonts w:ascii="Times New Roman" w:cs="Times New Roman" w:eastAsia="Times New Roman" w:hAnsi="Times New Roman"/>
          <w:b/>
          <w:bCs/>
          <w:sz w:val="28"/>
          <w:szCs w:val="28"/>
        </w:rPr>
        <w:t xml:space="preserve">1.4 Persistent Homology: Tracking Features Across Scales</w:t>
      </w:r>
    </w:p>
    <w:p>
      <w:pPr>
        <w:spacing w:after="200" w:line="276"/>
      </w:pPr>
      <w:r>
        <w:rPr>
          <w:rFonts w:ascii="Times New Roman" w:cs="Times New Roman" w:eastAsia="Times New Roman" w:hAnsi="Times New Roman"/>
          <w:sz w:val="24"/>
          <w:szCs w:val="24"/>
        </w:rPr>
        <w:t xml:space="preserve">A single simplicial complex computed at a fixed threshold captures topology at only one scale. Persistent homology resolves this by constructing a </w:t>
      </w:r>
      <w:r>
        <w:rPr>
          <w:rFonts w:ascii="Times New Roman" w:cs="Times New Roman" w:eastAsia="Times New Roman" w:hAnsi="Times New Roman"/>
          <w:i/>
          <w:iCs/>
          <w:sz w:val="24"/>
          <w:szCs w:val="24"/>
        </w:rPr>
        <w:t xml:space="preserve">filtration</w:t>
      </w:r>
      <w:r>
        <w:rPr>
          <w:rFonts w:ascii="Times New Roman" w:cs="Times New Roman" w:eastAsia="Times New Roman" w:hAnsi="Times New Roman"/>
          <w:sz w:val="24"/>
          <w:szCs w:val="24"/>
        </w:rPr>
        <w:t xml:space="preserve">—a nested sequence of complexes K</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K</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 ⊆ K</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obtained by gradually increasing the scale parameter ε—and computing homology at each stage. As ε increases, topological features are </w:t>
      </w:r>
      <w:r>
        <w:rPr>
          <w:rFonts w:ascii="Times New Roman" w:cs="Times New Roman" w:eastAsia="Times New Roman" w:hAnsi="Times New Roman"/>
          <w:i/>
          <w:iCs/>
          <w:sz w:val="24"/>
          <w:szCs w:val="24"/>
        </w:rPr>
        <w:t xml:space="preserve">born</w:t>
      </w:r>
      <w:r>
        <w:rPr>
          <w:rFonts w:ascii="Times New Roman" w:cs="Times New Roman" w:eastAsia="Times New Roman" w:hAnsi="Times New Roman"/>
          <w:sz w:val="24"/>
          <w:szCs w:val="24"/>
        </w:rPr>
        <w:t xml:space="preserve"> (a new cycle appears that is not a boundary) and </w:t>
      </w:r>
      <w:r>
        <w:rPr>
          <w:rFonts w:ascii="Times New Roman" w:cs="Times New Roman" w:eastAsia="Times New Roman" w:hAnsi="Times New Roman"/>
          <w:i/>
          <w:iCs/>
          <w:sz w:val="24"/>
          <w:szCs w:val="24"/>
        </w:rPr>
        <w:t xml:space="preserve">die</w:t>
      </w:r>
      <w:r>
        <w:rPr>
          <w:rFonts w:ascii="Times New Roman" w:cs="Times New Roman" w:eastAsia="Times New Roman" w:hAnsi="Times New Roman"/>
          <w:sz w:val="24"/>
          <w:szCs w:val="24"/>
        </w:rPr>
        <w:t xml:space="preserve"> (a cycle becomes a boundary when a higher-dimensional simplex fills it in). The </w:t>
      </w:r>
      <w:r>
        <w:rPr>
          <w:rFonts w:ascii="Times New Roman" w:cs="Times New Roman" w:eastAsia="Times New Roman" w:hAnsi="Times New Roman"/>
          <w:i/>
          <w:iCs/>
          <w:sz w:val="24"/>
          <w:szCs w:val="24"/>
        </w:rPr>
        <w:t xml:space="preserve">persistence</w:t>
      </w:r>
      <w:r>
        <w:rPr>
          <w:rFonts w:ascii="Times New Roman" w:cs="Times New Roman" w:eastAsia="Times New Roman" w:hAnsi="Times New Roman"/>
          <w:sz w:val="24"/>
          <w:szCs w:val="24"/>
        </w:rPr>
        <w:t xml:space="preserve"> of a feature is the interval [birth, death], and features with long persistence are considered topologically significant.</w:t>
      </w:r>
    </w:p>
    <w:p>
      <w:pPr>
        <w:spacing w:after="200" w:line="276"/>
      </w:pPr>
      <w:r>
        <w:rPr>
          <w:rFonts w:ascii="Times New Roman" w:cs="Times New Roman" w:eastAsia="Times New Roman" w:hAnsi="Times New Roman"/>
          <w:sz w:val="24"/>
          <w:szCs w:val="24"/>
        </w:rPr>
        <w:t xml:space="preserve">These birth-death intervals are visualized in two equivalent formats. A </w:t>
      </w:r>
      <w:r>
        <w:rPr>
          <w:rFonts w:ascii="Times New Roman" w:cs="Times New Roman" w:eastAsia="Times New Roman" w:hAnsi="Times New Roman"/>
          <w:i/>
          <w:iCs/>
          <w:sz w:val="24"/>
          <w:szCs w:val="24"/>
        </w:rPr>
        <w:t xml:space="preserve">persistence barcode</w:t>
      </w:r>
      <w:r>
        <w:rPr>
          <w:rFonts w:ascii="Times New Roman" w:cs="Times New Roman" w:eastAsia="Times New Roman" w:hAnsi="Times New Roman"/>
          <w:sz w:val="24"/>
          <w:szCs w:val="24"/>
        </w:rPr>
        <w:t xml:space="preserve"> represents each feature as a horizontal line segment whose length equals its persistence. A </w:t>
      </w:r>
      <w:r>
        <w:rPr>
          <w:rFonts w:ascii="Times New Roman" w:cs="Times New Roman" w:eastAsia="Times New Roman" w:hAnsi="Times New Roman"/>
          <w:i/>
          <w:iCs/>
          <w:sz w:val="24"/>
          <w:szCs w:val="24"/>
        </w:rPr>
        <w:t xml:space="preserve">persistence diagram</w:t>
      </w:r>
      <w:r>
        <w:rPr>
          <w:rFonts w:ascii="Times New Roman" w:cs="Times New Roman" w:eastAsia="Times New Roman" w:hAnsi="Times New Roman"/>
          <w:sz w:val="24"/>
          <w:szCs w:val="24"/>
        </w:rPr>
        <w:t xml:space="preserve"> plots each feature as a point (birth, death) in the plane, where the diagonal y = x represents zero persistence. Features far from the diagonal are topologically significant; those near the diagonal are noise (Edelsbrunner &amp; Harer, 2010). The structure theorem for persistence modules (Chazal et al., 2016; Oudot, 2015) guarantees that the persistent homology of any finite filtered complex can be completely characterized by such a multiset of intervals.</w:t>
      </w:r>
    </w:p>
    <w:p>
      <w:pPr>
        <w:pStyle w:val="Heading2"/>
        <w:spacing w:before="240" w:after="200"/>
      </w:pPr>
      <w:r>
        <w:rPr>
          <w:rFonts w:ascii="Times New Roman" w:cs="Times New Roman" w:eastAsia="Times New Roman" w:hAnsi="Times New Roman"/>
          <w:b/>
          <w:bCs/>
          <w:sz w:val="28"/>
          <w:szCs w:val="28"/>
        </w:rPr>
        <w:t xml:space="preserve">1.5 Stability: Why Persistent Homology Is Robust</w:t>
      </w:r>
    </w:p>
    <w:p>
      <w:pPr>
        <w:spacing w:after="200" w:line="276"/>
      </w:pPr>
      <w:r>
        <w:rPr>
          <w:rFonts w:ascii="Times New Roman" w:cs="Times New Roman" w:eastAsia="Times New Roman" w:hAnsi="Times New Roman"/>
          <w:sz w:val="24"/>
          <w:szCs w:val="24"/>
        </w:rPr>
        <w:t xml:space="preserve">The theoretical guarantee that makes PH practically viable is the </w:t>
      </w:r>
      <w:r>
        <w:rPr>
          <w:rFonts w:ascii="Times New Roman" w:cs="Times New Roman" w:eastAsia="Times New Roman" w:hAnsi="Times New Roman"/>
          <w:i/>
          <w:iCs/>
          <w:sz w:val="24"/>
          <w:szCs w:val="24"/>
        </w:rPr>
        <w:t xml:space="preserve">stability theorem</w:t>
      </w:r>
      <w:r>
        <w:rPr>
          <w:rFonts w:ascii="Times New Roman" w:cs="Times New Roman" w:eastAsia="Times New Roman" w:hAnsi="Times New Roman"/>
          <w:sz w:val="24"/>
          <w:szCs w:val="24"/>
        </w:rPr>
        <w:t xml:space="preserve"> of Cohen-Steiner, Edelsbrunner, and Harer (2007): for tame functions f and g on a triangulable space, the bottleneck distance between their persistence diagrams is bounded by the supremum norm of their difference, d</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(Dgm(f), Dgm(g)) ≤ ‖f − g‖</w:t>
      </w:r>
      <w:r>
        <w:rPr>
          <w:rFonts w:ascii="Times New Roman" w:cs="Times New Roman" w:eastAsia="Times New Roman" w:hAnsi="Times New Roman"/>
          <w:sz w:val="24"/>
          <w:szCs w:val="24"/>
          <w:vertAlign w:val="subscript"/>
        </w:rPr>
        <w:t xml:space="preserve">∞</w:t>
      </w:r>
      <w:r>
        <w:rPr>
          <w:rFonts w:ascii="Times New Roman" w:cs="Times New Roman" w:eastAsia="Times New Roman" w:hAnsi="Times New Roman"/>
          <w:sz w:val="24"/>
          <w:szCs w:val="24"/>
        </w:rPr>
        <w:t xml:space="preserve">. In practical terms, small perturbations of the input—measurement noise, imaging artifacts, slight variations in sample preparation—produce only bounded changes in the persistence diagram. This robustness is what distinguishes TDA from methods sensitive to coordinate perturbations, and it is central to why persistent homology is a viable feature extraction method for noisy geological data.</w:t>
      </w:r>
    </w:p>
    <w:p>
      <w:pPr>
        <w:pStyle w:val="Heading2"/>
        <w:spacing w:before="240" w:after="200"/>
      </w:pPr>
      <w:r>
        <w:rPr>
          <w:rFonts w:ascii="Times New Roman" w:cs="Times New Roman" w:eastAsia="Times New Roman" w:hAnsi="Times New Roman"/>
          <w:b/>
          <w:bCs/>
          <w:sz w:val="28"/>
          <w:szCs w:val="28"/>
        </w:rPr>
        <w:t xml:space="preserve">1.6 From Persistence Diagrams to Machine Learning Features</w:t>
      </w:r>
    </w:p>
    <w:p>
      <w:pPr>
        <w:spacing w:after="200" w:line="276"/>
      </w:pPr>
      <w:r>
        <w:rPr>
          <w:rFonts w:ascii="Times New Roman" w:cs="Times New Roman" w:eastAsia="Times New Roman" w:hAnsi="Times New Roman"/>
          <w:sz w:val="24"/>
          <w:szCs w:val="24"/>
        </w:rPr>
        <w:t xml:space="preserve">Persistence diagrams inhabit a metric space (under bottleneck or Wasserstein distances) that is not a Hilbert space, making direct use with many ML algorithms challenging. Several vectorization methods bridge this gap. </w:t>
      </w:r>
      <w:r>
        <w:rPr>
          <w:rFonts w:ascii="Times New Roman" w:cs="Times New Roman" w:eastAsia="Times New Roman" w:hAnsi="Times New Roman"/>
          <w:i/>
          <w:iCs/>
          <w:sz w:val="24"/>
          <w:szCs w:val="24"/>
        </w:rPr>
        <w:t xml:space="preserve">Persistence landscapes</w:t>
      </w:r>
      <w:r>
        <w:rPr>
          <w:rFonts w:ascii="Times New Roman" w:cs="Times New Roman" w:eastAsia="Times New Roman" w:hAnsi="Times New Roman"/>
          <w:sz w:val="24"/>
          <w:szCs w:val="24"/>
        </w:rPr>
        <w:t xml:space="preserve"> (Bubenik, 2015) map diagrams into a Banach space supporting statistical hypothesis testing. </w:t>
      </w:r>
      <w:r>
        <w:rPr>
          <w:rFonts w:ascii="Times New Roman" w:cs="Times New Roman" w:eastAsia="Times New Roman" w:hAnsi="Times New Roman"/>
          <w:i/>
          <w:iCs/>
          <w:sz w:val="24"/>
          <w:szCs w:val="24"/>
        </w:rPr>
        <w:t xml:space="preserve">Persistence images</w:t>
      </w:r>
      <w:r>
        <w:rPr>
          <w:rFonts w:ascii="Times New Roman" w:cs="Times New Roman" w:eastAsia="Times New Roman" w:hAnsi="Times New Roman"/>
          <w:sz w:val="24"/>
          <w:szCs w:val="24"/>
        </w:rPr>
        <w:t xml:space="preserve"> (Adams et al., 2017) apply weighted Gaussian kernels on the birth-persistence plane to produce fixed-dimensional vectors stable with respect to the 1-Wasserstein distance. </w:t>
      </w:r>
      <w:r>
        <w:rPr>
          <w:rFonts w:ascii="Times New Roman" w:cs="Times New Roman" w:eastAsia="Times New Roman" w:hAnsi="Times New Roman"/>
          <w:i/>
          <w:iCs/>
          <w:sz w:val="24"/>
          <w:szCs w:val="24"/>
        </w:rPr>
        <w:t xml:space="preserve">Persistence entropy</w:t>
      </w:r>
      <w:r>
        <w:rPr>
          <w:rFonts w:ascii="Times New Roman" w:cs="Times New Roman" w:eastAsia="Times New Roman" w:hAnsi="Times New Roman"/>
          <w:sz w:val="24"/>
          <w:szCs w:val="24"/>
        </w:rPr>
        <w:t xml:space="preserve"> (Atienza et al., 2020) compresses diagrams to a single scalar per homological dimension via Shannon entropy, providing an interpretable measure of topological complexity. These vectorizations enable TDA features to be combined with conventional statistical and deep learning features in hybrid classifiers, which is precisely the role PH plays in the Qualia Convergence Framework.</w:t>
      </w:r>
    </w:p>
    <w:p>
      <w:pPr>
        <w:pStyle w:val="Heading1"/>
        <w:spacing w:before="360" w:after="200"/>
      </w:pPr>
      <w:r>
        <w:rPr>
          <w:rFonts w:ascii="Times New Roman" w:cs="Times New Roman" w:eastAsia="Times New Roman" w:hAnsi="Times New Roman"/>
          <w:b/>
          <w:bCs/>
          <w:sz w:val="32"/>
          <w:szCs w:val="32"/>
        </w:rPr>
        <w:t xml:space="preserve">2. Application to the Qualia Convergence Framework</w:t>
      </w:r>
    </w:p>
    <w:p>
      <w:pPr>
        <w:pStyle w:val="Heading2"/>
        <w:spacing w:before="240" w:after="200"/>
      </w:pPr>
      <w:r>
        <w:rPr>
          <w:rFonts w:ascii="Times New Roman" w:cs="Times New Roman" w:eastAsia="Times New Roman" w:hAnsi="Times New Roman"/>
          <w:b/>
          <w:bCs/>
          <w:sz w:val="28"/>
          <w:szCs w:val="28"/>
        </w:rPr>
        <w:t xml:space="preserve">2.1 The Research Problem: What Is the Essence of a Geological Image?</w:t>
      </w:r>
    </w:p>
    <w:p>
      <w:pPr>
        <w:spacing w:after="200" w:line="276"/>
      </w:pPr>
      <w:r>
        <w:rPr>
          <w:rFonts w:ascii="Times New Roman" w:cs="Times New Roman" w:eastAsia="Times New Roman" w:hAnsi="Times New Roman"/>
          <w:sz w:val="24"/>
          <w:szCs w:val="24"/>
        </w:rPr>
        <w:t xml:space="preserve">The Qualia Convergence Framework (QCF) addresses a fundamental challenge in subsurface reservoir characterization: given sparse observations (wells, partial seismic), how does a geoscientist retrieve </w:t>
      </w:r>
      <w:r>
        <w:rPr>
          <w:rFonts w:ascii="Times New Roman" w:cs="Times New Roman" w:eastAsia="Times New Roman" w:hAnsi="Times New Roman"/>
          <w:i/>
          <w:iCs/>
          <w:sz w:val="24"/>
          <w:szCs w:val="24"/>
        </w:rPr>
        <w:t xml:space="preserve">depositional analogs</w:t>
      </w:r>
      <w:r>
        <w:rPr>
          <w:rFonts w:ascii="Times New Roman" w:cs="Times New Roman" w:eastAsia="Times New Roman" w:hAnsi="Times New Roman"/>
          <w:sz w:val="24"/>
          <w:szCs w:val="24"/>
        </w:rPr>
        <w:t xml:space="preserve">—reference geological models that share the essential structural properties of the target reservoir? The framework was motivated by a colleague’s critique that “patterns based on statistical coherence will never solve the essence problem”—that variogram-matching and facies-proportion-matching retrieve statistically similar images that may be structurally (topologically) dissimilar.</w:t>
      </w:r>
    </w:p>
    <w:p>
      <w:pPr>
        <w:spacing w:after="200" w:line="276"/>
      </w:pPr>
      <w:r>
        <w:rPr>
          <w:rFonts w:ascii="Times New Roman" w:cs="Times New Roman" w:eastAsia="Times New Roman" w:hAnsi="Times New Roman"/>
          <w:sz w:val="24"/>
          <w:szCs w:val="24"/>
        </w:rPr>
        <w:t xml:space="preserve">The QCF operationalizes “essence” through a Vedantic epistemological lens. Drawing on the distinction between aparā vidyā (lower, empirical knowledge) and parā vidyā (higher, direct knowledge of invariant structure), the framework defines the essence of a geological image as </w:t>
      </w:r>
      <w:r>
        <w:rPr>
          <w:rFonts w:ascii="Times New Roman" w:cs="Times New Roman" w:eastAsia="Times New Roman" w:hAnsi="Times New Roman"/>
          <w:i/>
          <w:iCs/>
          <w:sz w:val="24"/>
          <w:szCs w:val="24"/>
        </w:rPr>
        <w:t xml:space="preserve">invariant structure that remains stable under multiple independent representation pathways, observation modalities, and generative processes</w:t>
      </w:r>
      <w:r>
        <w:rPr>
          <w:rFonts w:ascii="Times New Roman" w:cs="Times New Roman" w:eastAsia="Times New Roman" w:hAnsi="Times New Roman"/>
          <w:sz w:val="24"/>
          <w:szCs w:val="24"/>
        </w:rPr>
        <w:t xml:space="preserve">. This definition transforms a philosophical intuition into a testable scientific program: if multiple independent pathways extract the same structural characterization from an image, we have evidence of something “essential” rather than pathway-specific.</w:t>
      </w:r>
    </w:p>
    <w:p>
      <w:pPr>
        <w:pStyle w:val="Heading2"/>
        <w:spacing w:before="240" w:after="200"/>
      </w:pPr>
      <w:r>
        <w:rPr>
          <w:rFonts w:ascii="Times New Roman" w:cs="Times New Roman" w:eastAsia="Times New Roman" w:hAnsi="Times New Roman"/>
          <w:b/>
          <w:bCs/>
          <w:sz w:val="28"/>
          <w:szCs w:val="28"/>
        </w:rPr>
        <w:t xml:space="preserve">2.2 Three-Pathway Architecture and the Role of TDA</w:t>
      </w:r>
    </w:p>
    <w:p>
      <w:pPr>
        <w:spacing w:after="200" w:line="276"/>
      </w:pPr>
      <w:r>
        <w:rPr>
          <w:rFonts w:ascii="Times New Roman" w:cs="Times New Roman" w:eastAsia="Times New Roman" w:hAnsi="Times New Roman"/>
          <w:sz w:val="24"/>
          <w:szCs w:val="24"/>
        </w:rPr>
        <w:t xml:space="preserve">The QCF employs three independent feature-extraction pathways, each representing a distinct epistemological perspective (termed </w:t>
      </w:r>
      <w:r>
        <w:rPr>
          <w:rFonts w:ascii="Times New Roman" w:cs="Times New Roman" w:eastAsia="Times New Roman" w:hAnsi="Times New Roman"/>
          <w:i/>
          <w:iCs/>
          <w:sz w:val="24"/>
          <w:szCs w:val="24"/>
        </w:rPr>
        <w:t xml:space="preserve">darśanas</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Classical Pathway</w:t>
      </w:r>
      <w:r>
        <w:rPr>
          <w:rFonts w:ascii="Times New Roman" w:cs="Times New Roman" w:eastAsia="Times New Roman" w:hAnsi="Times New Roman"/>
          <w:sz w:val="24"/>
          <w:szCs w:val="24"/>
        </w:rPr>
        <w:t xml:space="preserve"> computes traditional geostatistical descriptors—variograms, fractal dimensions, connectivity functions—yielding approximately 50 dimensions of features that encode spatial correlation structure. The </w:t>
      </w:r>
      <w:r>
        <w:rPr>
          <w:rFonts w:ascii="Times New Roman" w:cs="Times New Roman" w:eastAsia="Times New Roman" w:hAnsi="Times New Roman"/>
          <w:b/>
          <w:bCs/>
          <w:sz w:val="24"/>
          <w:szCs w:val="24"/>
        </w:rPr>
        <w:t xml:space="preserve">Learned Pathway</w:t>
      </w:r>
      <w:r>
        <w:rPr>
          <w:rFonts w:ascii="Times New Roman" w:cs="Times New Roman" w:eastAsia="Times New Roman" w:hAnsi="Times New Roman"/>
          <w:sz w:val="24"/>
          <w:szCs w:val="24"/>
        </w:rPr>
        <w:t xml:space="preserve"> uses DINOv2-ViT-B/14, a self-supervised vision transformer, with LoRA fine-tuning on geological imagery to extract 768-dimensional feature vectors capturing high-level visual semantics. The </w:t>
      </w:r>
      <w:r>
        <w:rPr>
          <w:rFonts w:ascii="Times New Roman" w:cs="Times New Roman" w:eastAsia="Times New Roman" w:hAnsi="Times New Roman"/>
          <w:b/>
          <w:bCs/>
          <w:sz w:val="24"/>
          <w:szCs w:val="24"/>
        </w:rPr>
        <w:t xml:space="preserve">Topological Pathway</w:t>
      </w:r>
      <w:r>
        <w:rPr>
          <w:rFonts w:ascii="Times New Roman" w:cs="Times New Roman" w:eastAsia="Times New Roman" w:hAnsi="Times New Roman"/>
          <w:sz w:val="24"/>
          <w:szCs w:val="24"/>
        </w:rPr>
        <w:t xml:space="preserve">—the focus of this paper—computes persistent homology in dimensions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and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via Giotto-TDA (Tauzin et al., 2021), producing approximately 20–50 dimensions of topological features.</w:t>
      </w:r>
    </w:p>
    <w:p>
      <w:pPr>
        <w:spacing w:after="200" w:line="276"/>
      </w:pPr>
      <w:r>
        <w:rPr>
          <w:rFonts w:ascii="Times New Roman" w:cs="Times New Roman" w:eastAsia="Times New Roman" w:hAnsi="Times New Roman"/>
          <w:sz w:val="24"/>
          <w:szCs w:val="24"/>
        </w:rPr>
        <w:t xml:space="preserve">The three pathways are fused through a convergence regularization loss L</w:t>
      </w:r>
      <w:r>
        <w:rPr>
          <w:rFonts w:ascii="Times New Roman" w:cs="Times New Roman" w:eastAsia="Times New Roman" w:hAnsi="Times New Roman"/>
          <w:sz w:val="24"/>
          <w:szCs w:val="24"/>
          <w:vertAlign w:val="subscript"/>
        </w:rPr>
        <w:t xml:space="preserve">conv</w:t>
      </w:r>
      <w:r>
        <w:rPr>
          <w:rFonts w:ascii="Times New Roman" w:cs="Times New Roman" w:eastAsia="Times New Roman" w:hAnsi="Times New Roman"/>
          <w:sz w:val="24"/>
          <w:szCs w:val="24"/>
        </w:rPr>
        <w:t xml:space="preserve"> = Σ ‖f</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(x) − f</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(x)‖² that enforces agreement between pathway representations, and the fused vector is projected into a hyperbolic embedding space (Poincaré ball model) where the hierarchical organization of depositional environments is naturally encoded—general categories (e.g., “fluvial”) near the origin, specific sub-types (e.g., “high-sinuosity meandering with oxbow cutoffs”) near the boundary. The convergence regularization is analogous to the boundary operator’s coherence property δ</w:t>
      </w:r>
      <w:r>
        <w:rPr>
          <w:rFonts w:ascii="Times New Roman" w:cs="Times New Roman" w:eastAsia="Times New Roman" w:hAnsi="Times New Roman"/>
          <w:sz w:val="24"/>
          <w:szCs w:val="24"/>
          <w:vertAlign w:val="subscript"/>
        </w:rPr>
        <w:t xml:space="preserve">k−1</w:t>
      </w:r>
      <w:r>
        <w:rPr>
          <w:rFonts w:ascii="Times New Roman" w:cs="Times New Roman" w:eastAsia="Times New Roman" w:hAnsi="Times New Roman"/>
          <w:sz w:val="24"/>
          <w:szCs w:val="24"/>
        </w:rPr>
        <w:t xml:space="preserve"> ∘ δ</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0: information extracted at one “dimension” of analysis must be compatible with information at adjacent dimensions.</w:t>
      </w:r>
    </w:p>
    <w:p>
      <w:pPr>
        <w:pStyle w:val="Heading2"/>
        <w:spacing w:before="240" w:after="200"/>
      </w:pPr>
      <w:r>
        <w:rPr>
          <w:rFonts w:ascii="Times New Roman" w:cs="Times New Roman" w:eastAsia="Times New Roman" w:hAnsi="Times New Roman"/>
          <w:b/>
          <w:bCs/>
          <w:sz w:val="28"/>
          <w:szCs w:val="28"/>
        </w:rPr>
        <w:t xml:space="preserve">2.3 The H₁ Hypothesis: Loops Discriminate Channel Architectures</w:t>
      </w:r>
    </w:p>
    <w:p>
      <w:pPr>
        <w:spacing w:after="200" w:line="276"/>
      </w:pPr>
      <w:r>
        <w:rPr>
          <w:rFonts w:ascii="Times New Roman" w:cs="Times New Roman" w:eastAsia="Times New Roman" w:hAnsi="Times New Roman"/>
          <w:sz w:val="24"/>
          <w:szCs w:val="24"/>
        </w:rPr>
        <w:t xml:space="preserve">The central testable hypothesis of the topological pathway is that </w:t>
      </w:r>
      <w:r>
        <w:rPr>
          <w:rFonts w:ascii="Times New Roman" w:cs="Times New Roman" w:eastAsia="Times New Roman" w:hAnsi="Times New Roman"/>
          <w:b/>
          <w:bCs/>
          <w:sz w:val="24"/>
          <w:szCs w:val="24"/>
        </w:rPr>
        <w:t xml:space="preserve">first-dimensional persistent homology (H</w:t>
      </w:r>
      <w:r>
        <w:rPr>
          <w:rFonts w:ascii="Times New Roman" w:cs="Times New Roman" w:eastAsia="Times New Roman" w:hAnsi="Times New Roman"/>
          <w:b/>
          <w:bCs/>
          <w:sz w:val="24"/>
          <w:szCs w:val="24"/>
          <w:vertAlign w:val="subscript"/>
        </w:rPr>
        <w:t xml:space="preserve">1</w:t>
      </w:r>
      <w:r>
        <w:rPr>
          <w:rFonts w:ascii="Times New Roman" w:cs="Times New Roman" w:eastAsia="Times New Roman" w:hAnsi="Times New Roman"/>
          <w:b/>
          <w:bCs/>
          <w:sz w:val="24"/>
          <w:szCs w:val="24"/>
        </w:rPr>
        <w:t xml:space="preserve">) discriminates braided from meandering channel architectures even when variogram parameters (range, sill, nugget) are matched</w:t>
      </w:r>
      <w:r>
        <w:rPr>
          <w:rFonts w:ascii="Times New Roman" w:cs="Times New Roman" w:eastAsia="Times New Roman" w:hAnsi="Times New Roman"/>
          <w:sz w:val="24"/>
          <w:szCs w:val="24"/>
        </w:rPr>
        <w:t xml:space="preserve">. The physical reasoning is as follows. Braided river systems are characterized by multiple interconnected channels that split and rejoin around bars, creating a network of closed loops in planform view. Meandering systems have a single sinuous channel with occasional oxbow cutoffs. At the topological level, a braided system should exhibit </w:t>
      </w:r>
      <w:r>
        <w:rPr>
          <w:rFonts w:ascii="Times New Roman" w:cs="Times New Roman" w:eastAsia="Times New Roman" w:hAnsi="Times New Roman"/>
          <w:i/>
          <w:iCs/>
          <w:sz w:val="24"/>
          <w:szCs w:val="24"/>
        </w:rPr>
        <w:t xml:space="preserve">many</w:t>
      </w:r>
      <w:r>
        <w:rPr>
          <w:rFonts w:ascii="Times New Roman" w:cs="Times New Roman" w:eastAsia="Times New Roman" w:hAnsi="Times New Roman"/>
          <w:sz w:val="24"/>
          <w:szCs w:val="24"/>
        </w:rPr>
        <w:t xml:space="preserve"> persistent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features (loops that persist over a wide range of filtration scales), while a meandering system should exhibit </w:t>
      </w:r>
      <w:r>
        <w:rPr>
          <w:rFonts w:ascii="Times New Roman" w:cs="Times New Roman" w:eastAsia="Times New Roman" w:hAnsi="Times New Roman"/>
          <w:i/>
          <w:iCs/>
          <w:sz w:val="24"/>
          <w:szCs w:val="24"/>
        </w:rPr>
        <w:t xml:space="preserve">few</w:t>
      </w:r>
      <w:r>
        <w:rPr>
          <w:rFonts w:ascii="Times New Roman" w:cs="Times New Roman" w:eastAsia="Times New Roman" w:hAnsi="Times New Roman"/>
          <w:sz w:val="24"/>
          <w:szCs w:val="24"/>
        </w:rPr>
        <w:t xml:space="preserve"> (primarily at scales corresponding to oxbow-lake formation). Critically, two-point geostatistics (variograms) cannot distinguish these configurations when the spatial correlation lengths are similar; they measure correlation structure but are blind to connectivity topology.</w:t>
      </w:r>
    </w:p>
    <w:p>
      <w:pPr>
        <w:spacing w:after="200" w:line="276"/>
      </w:pPr>
      <w:r>
        <w:rPr>
          <w:rFonts w:ascii="Times New Roman" w:cs="Times New Roman" w:eastAsia="Times New Roman" w:hAnsi="Times New Roman"/>
          <w:sz w:val="24"/>
          <w:szCs w:val="24"/>
        </w:rPr>
        <w:t xml:space="preserve">The framework establishes a pre-committed decision point (Decision Point 2.1 in the Architecture Decisions document): if classification accuracy using only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features exceeds 70%, the hypothesis is supported and TDA becomes a core pathway; if it falls below 60%, TDA remains an ablation study. This pre-commitment follows the Sākṣī (witness) validation philosophy: claims about essence are validated by independent witnesses with interpretation thresholds fixed before data analysis.</w:t>
      </w:r>
    </w:p>
    <w:p>
      <w:pPr>
        <w:pStyle w:val="Heading2"/>
        <w:spacing w:before="240" w:after="200"/>
      </w:pPr>
      <w:r>
        <w:rPr>
          <w:rFonts w:ascii="Times New Roman" w:cs="Times New Roman" w:eastAsia="Times New Roman" w:hAnsi="Times New Roman"/>
          <w:b/>
          <w:bCs/>
          <w:sz w:val="28"/>
          <w:szCs w:val="28"/>
        </w:rPr>
        <w:t xml:space="preserve">2.4 Cubical Complexes for Geological Image Data</w:t>
      </w:r>
    </w:p>
    <w:p>
      <w:pPr>
        <w:spacing w:after="200" w:line="276"/>
      </w:pPr>
      <w:r>
        <w:rPr>
          <w:rFonts w:ascii="Times New Roman" w:cs="Times New Roman" w:eastAsia="Times New Roman" w:hAnsi="Times New Roman"/>
          <w:sz w:val="24"/>
          <w:szCs w:val="24"/>
        </w:rPr>
        <w:t xml:space="preserve">While the Kemmea and Agyingi (2025) tutorial constructs Vietoris–Rips complexes from point clouds, the QCF works with 2D geological images (training images, simulation outputs, thin-section photographs) where each pixel has a property value (facies code, porosity, grayscale intensity). For such gridded data, </w:t>
      </w:r>
      <w:r>
        <w:rPr>
          <w:rFonts w:ascii="Times New Roman" w:cs="Times New Roman" w:eastAsia="Times New Roman" w:hAnsi="Times New Roman"/>
          <w:i/>
          <w:iCs/>
          <w:sz w:val="24"/>
          <w:szCs w:val="24"/>
        </w:rPr>
        <w:t xml:space="preserve">cubical complexes</w:t>
      </w:r>
      <w:r>
        <w:rPr>
          <w:rFonts w:ascii="Times New Roman" w:cs="Times New Roman" w:eastAsia="Times New Roman" w:hAnsi="Times New Roman"/>
          <w:sz w:val="24"/>
          <w:szCs w:val="24"/>
        </w:rPr>
        <w:t xml:space="preserve"> are the natural and computationally efficient choice (Kaczynski, Mischaikow, &amp; Mrozek, 2004; Wagner, Chen, &amp; Vuçini, 2012). Instead of constructing simplices from point-pairs, the cubical approach treats each pixel as an elementary square (2-cube) and builds the filtration by thresholding on pixel values—for binary facies images, this reduces to a sublevel-set filtration on the signed Euclidean distance transform (SEDT), following the methodology established by Robins et al. (2016) for geological pore-space characterization.</w:t>
      </w:r>
    </w:p>
    <w:p>
      <w:pPr>
        <w:spacing w:after="200" w:line="276"/>
      </w:pPr>
      <w:r>
        <w:rPr>
          <w:rFonts w:ascii="Times New Roman" w:cs="Times New Roman" w:eastAsia="Times New Roman" w:hAnsi="Times New Roman"/>
          <w:sz w:val="24"/>
          <w:szCs w:val="24"/>
        </w:rPr>
        <w:t xml:space="preserve">The SEDT assigns to each pixel a signed distance to the nearest boundary between facies: positive inside channel bodies, negative inside floodplain. Filtering by increasing SEDT values progressively “erodes” narrow connections, revealing which topological features (connected components, loops) are robust at the core of geobodies versus those that depend on thin, possibly artifactual connections. The software implementation uses either GUDHI’s native cubical complex module (Maria et al., 2014) or CubicalRipser (Kaji, Sudo, &amp; Ahara, 2020), both integrated into the Giotto-TDA pipeline for downstream ML compatibility.</w:t>
      </w:r>
    </w:p>
    <w:p>
      <w:pPr>
        <w:pStyle w:val="Heading2"/>
        <w:spacing w:before="240" w:after="200"/>
      </w:pPr>
      <w:r>
        <w:rPr>
          <w:rFonts w:ascii="Times New Roman" w:cs="Times New Roman" w:eastAsia="Times New Roman" w:hAnsi="Times New Roman"/>
          <w:b/>
          <w:bCs/>
          <w:sz w:val="28"/>
          <w:szCs w:val="28"/>
        </w:rPr>
        <w:t xml:space="preserve">2.5 Persistence Diagrams and the Hyperbolic Embedding Connection</w:t>
      </w:r>
    </w:p>
    <w:p>
      <w:pPr>
        <w:spacing w:after="200" w:line="276"/>
      </w:pPr>
      <w:r>
        <w:rPr>
          <w:rFonts w:ascii="Times New Roman" w:cs="Times New Roman" w:eastAsia="Times New Roman" w:hAnsi="Times New Roman"/>
          <w:sz w:val="24"/>
          <w:szCs w:val="24"/>
        </w:rPr>
        <w:t xml:space="preserve">The persistence diagrams produced by the topological pathway encode hierarchy in a manner that aligns naturally with the QCF’s hyperbolic embedding space. In a persistence diagram, the distance of a point from the diagonal (its persistence, d = death − birth) reflects the feature’s structural importance: long-lived bars correspond to essential, large-scale topological features, while short-lived bars correspond to fine-scale detail or noise. This is a </w:t>
      </w:r>
      <w:r>
        <w:rPr>
          <w:rFonts w:ascii="Times New Roman" w:cs="Times New Roman" w:eastAsia="Times New Roman" w:hAnsi="Times New Roman"/>
          <w:i/>
          <w:iCs/>
          <w:sz w:val="24"/>
          <w:szCs w:val="24"/>
        </w:rPr>
        <w:t xml:space="preserve">topological hierarchy</w:t>
      </w:r>
      <w:r>
        <w:rPr>
          <w:rFonts w:ascii="Times New Roman" w:cs="Times New Roman" w:eastAsia="Times New Roman" w:hAnsi="Times New Roman"/>
          <w:sz w:val="24"/>
          <w:szCs w:val="24"/>
        </w:rPr>
        <w:t xml:space="preserve">: from essential structure to accidental detail.</w:t>
      </w:r>
    </w:p>
    <w:p>
      <w:pPr>
        <w:spacing w:after="200" w:line="276"/>
      </w:pPr>
      <w:r>
        <w:rPr>
          <w:rFonts w:ascii="Times New Roman" w:cs="Times New Roman" w:eastAsia="Times New Roman" w:hAnsi="Times New Roman"/>
          <w:sz w:val="24"/>
          <w:szCs w:val="24"/>
        </w:rPr>
        <w:t xml:space="preserve">The Poincaré ball model used by the QCF encodes a </w:t>
      </w:r>
      <w:r>
        <w:rPr>
          <w:rFonts w:ascii="Times New Roman" w:cs="Times New Roman" w:eastAsia="Times New Roman" w:hAnsi="Times New Roman"/>
          <w:i/>
          <w:iCs/>
          <w:sz w:val="24"/>
          <w:szCs w:val="24"/>
        </w:rPr>
        <w:t xml:space="preserve">depositional hierarchy</w:t>
      </w:r>
      <w:r>
        <w:rPr>
          <w:rFonts w:ascii="Times New Roman" w:cs="Times New Roman" w:eastAsia="Times New Roman" w:hAnsi="Times New Roman"/>
          <w:sz w:val="24"/>
          <w:szCs w:val="24"/>
        </w:rPr>
        <w:t xml:space="preserve">: general environment types near the origin, specific sub-types near the boundary. There is a natural map between these two hierarchies. An image whose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persistence diagram is dominated by many long-lived loops is “more braided” and should sit closer to the hyperbolic boundary near the braided-river prototype. An image with few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features but a characteristic distribution of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lifetimes (reflecting channel-body isolation) is “more meandering” and sits near the meandering prototype. The longest-lived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feature effectively indicates position along the specificity axis of the embedding space. This geometric interpretation of persistence diagrams feeding directly into hierarchy-aware embedding is, to our knowledge, a novel contribution of the QCF.</w:t>
      </w:r>
    </w:p>
    <w:p>
      <w:pPr>
        <w:pStyle w:val="Heading2"/>
        <w:spacing w:before="240" w:after="200"/>
      </w:pPr>
      <w:r>
        <w:rPr>
          <w:rFonts w:ascii="Times New Roman" w:cs="Times New Roman" w:eastAsia="Times New Roman" w:hAnsi="Times New Roman"/>
          <w:b/>
          <w:bCs/>
          <w:sz w:val="28"/>
          <w:szCs w:val="28"/>
        </w:rPr>
        <w:t xml:space="preserve">2.6 LOGO Validation and Topological Stability</w:t>
      </w:r>
    </w:p>
    <w:p>
      <w:pPr>
        <w:spacing w:after="200" w:line="276"/>
      </w:pPr>
      <w:r>
        <w:rPr>
          <w:rFonts w:ascii="Times New Roman" w:cs="Times New Roman" w:eastAsia="Times New Roman" w:hAnsi="Times New Roman"/>
          <w:sz w:val="24"/>
          <w:szCs w:val="24"/>
        </w:rPr>
        <w:t xml:space="preserve">The QCF validates its “essence” claims through the Leave-One-Generator-Out (LOGO) protocol: the system is trained on images from all but one geological image generator (e.g., Flumy for process-based, SNESIM for multi-point statistics, principle-based generators for rule-based simulation), and tested on the held-out generator. If retrieval performance degrades by less than 20% for all held-out generators, the features are deemed </w:t>
      </w:r>
      <w:r>
        <w:rPr>
          <w:rFonts w:ascii="Times New Roman" w:cs="Times New Roman" w:eastAsia="Times New Roman" w:hAnsi="Times New Roman"/>
          <w:i/>
          <w:iCs/>
          <w:sz w:val="24"/>
          <w:szCs w:val="24"/>
        </w:rPr>
        <w:t xml:space="preserve">generator-invariant</w:t>
      </w:r>
      <w:r>
        <w:rPr>
          <w:rFonts w:ascii="Times New Roman" w:cs="Times New Roman" w:eastAsia="Times New Roman" w:hAnsi="Times New Roman"/>
          <w:sz w:val="24"/>
          <w:szCs w:val="24"/>
        </w:rPr>
        <w:t xml:space="preserve">—capturing properties of the depositional environment itself rather than artifacts of the simulation method.</w:t>
      </w:r>
    </w:p>
    <w:p>
      <w:pPr>
        <w:spacing w:after="200" w:line="276"/>
      </w:pPr>
      <w:r>
        <w:rPr>
          <w:rFonts w:ascii="Times New Roman" w:cs="Times New Roman" w:eastAsia="Times New Roman" w:hAnsi="Times New Roman"/>
          <w:sz w:val="24"/>
          <w:szCs w:val="24"/>
        </w:rPr>
        <w:t xml:space="preserve">The stability theorem provides a strong theoretical prediction for this test: because persistent homology is provably stable under perturbations of the input function, topological features should transfer between generators </w:t>
      </w:r>
      <w:r>
        <w:rPr>
          <w:rFonts w:ascii="Times New Roman" w:cs="Times New Roman" w:eastAsia="Times New Roman" w:hAnsi="Times New Roman"/>
          <w:i/>
          <w:iCs/>
          <w:sz w:val="24"/>
          <w:szCs w:val="24"/>
        </w:rPr>
        <w:t xml:space="preserve">better</w:t>
      </w:r>
      <w:r>
        <w:rPr>
          <w:rFonts w:ascii="Times New Roman" w:cs="Times New Roman" w:eastAsia="Times New Roman" w:hAnsi="Times New Roman"/>
          <w:sz w:val="24"/>
          <w:szCs w:val="24"/>
        </w:rPr>
        <w:t xml:space="preserve"> than learned features (which may overfit to generator-specific texture patterns) or classical features (which depend on specific correlation-function shapes). We therefore predict that </w:t>
      </w:r>
      <w:r>
        <w:rPr>
          <w:rFonts w:ascii="Times New Roman" w:cs="Times New Roman" w:eastAsia="Times New Roman" w:hAnsi="Times New Roman"/>
          <w:b/>
          <w:bCs/>
          <w:sz w:val="24"/>
          <w:szCs w:val="24"/>
        </w:rPr>
        <w:t xml:space="preserve">per-pathway LOGO degradation will be lowest for the topological pathway</w:t>
      </w:r>
      <w:r>
        <w:rPr>
          <w:rFonts w:ascii="Times New Roman" w:cs="Times New Roman" w:eastAsia="Times New Roman" w:hAnsi="Times New Roman"/>
          <w:sz w:val="24"/>
          <w:szCs w:val="24"/>
        </w:rPr>
        <w:t xml:space="preserve">. This is a testable, pre-committed prediction. If confirmed, it provides powerful evidence that TDA captures genuinely generator-invariant structure—the closest empirical approximation to “essence”—and supports the multi-pathway architecture’s theoretical rationale (Architecture Decision ADR-001).</w:t>
      </w:r>
    </w:p>
    <w:p>
      <w:pPr>
        <w:pStyle w:val="Heading2"/>
        <w:spacing w:before="240" w:after="200"/>
      </w:pPr>
      <w:r>
        <w:rPr>
          <w:rFonts w:ascii="Times New Roman" w:cs="Times New Roman" w:eastAsia="Times New Roman" w:hAnsi="Times New Roman"/>
          <w:b/>
          <w:bCs/>
          <w:sz w:val="28"/>
          <w:szCs w:val="28"/>
        </w:rPr>
        <w:t xml:space="preserve">2.7 Implementation Plan</w:t>
      </w:r>
    </w:p>
    <w:p>
      <w:pPr>
        <w:spacing w:after="200" w:line="276"/>
      </w:pPr>
      <w:r>
        <w:rPr>
          <w:rFonts w:ascii="Times New Roman" w:cs="Times New Roman" w:eastAsia="Times New Roman" w:hAnsi="Times New Roman"/>
          <w:sz w:val="24"/>
          <w:szCs w:val="24"/>
        </w:rPr>
        <w:t xml:space="preserve">The topological pathway implementation proceeds in phases aligned with the QCF’s overall development plan. In </w:t>
      </w:r>
      <w:r>
        <w:rPr>
          <w:rFonts w:ascii="Times New Roman" w:cs="Times New Roman" w:eastAsia="Times New Roman" w:hAnsi="Times New Roman"/>
          <w:b/>
          <w:bCs/>
          <w:sz w:val="24"/>
          <w:szCs w:val="24"/>
        </w:rPr>
        <w:t xml:space="preserve">Phase 1</w:t>
      </w:r>
      <w:r>
        <w:rPr>
          <w:rFonts w:ascii="Times New Roman" w:cs="Times New Roman" w:eastAsia="Times New Roman" w:hAnsi="Times New Roman"/>
          <w:sz w:val="24"/>
          <w:szCs w:val="24"/>
        </w:rPr>
        <w:t xml:space="preserve">, principle-based generators (Leopold-Wolman framework for fluvial, Werner dune model for aeolian, tidal prism framework for estuarine) produce binary facies images with known ground truth. The SEDT is computed for each image, and cubical persistent homology is computed via Giotto-TDA’s CubicalPersistence module in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and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Persistence diagrams are vectorized into persistence images (Adams et al., 2017) producing fixed-dimensional feature vectors (approximately 20–50 dimensions depending on resolution). A preliminary classification test using only topological features evaluates the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hypothesis (Decision Point 2.1).</w:t>
      </w:r>
    </w:p>
    <w:p>
      <w:pPr>
        <w:spacing w:after="200" w:line="276"/>
      </w:pPr>
      <w:r>
        <w:rPr>
          <w:rFonts w:ascii="Times New Roman" w:cs="Times New Roman" w:eastAsia="Times New Roman" w:hAnsi="Times New Roman"/>
          <w:sz w:val="24"/>
          <w:szCs w:val="24"/>
        </w:rPr>
        <w:t xml:space="preserve">In </w:t>
      </w:r>
      <w:r>
        <w:rPr>
          <w:rFonts w:ascii="Times New Roman" w:cs="Times New Roman" w:eastAsia="Times New Roman" w:hAnsi="Times New Roman"/>
          <w:b/>
          <w:bCs/>
          <w:sz w:val="24"/>
          <w:szCs w:val="24"/>
        </w:rPr>
        <w:t xml:space="preserve">Phase 2</w:t>
      </w:r>
      <w:r>
        <w:rPr>
          <w:rFonts w:ascii="Times New Roman" w:cs="Times New Roman" w:eastAsia="Times New Roman" w:hAnsi="Times New Roman"/>
          <w:sz w:val="24"/>
          <w:szCs w:val="24"/>
        </w:rPr>
        <w:t xml:space="preserve">, topological features are integrated with the classical and learned pathways. The convergence regularization loss enforces cross-pathway agreement, and the combined features are projected into the Poincaré ball via exponential maps. A key diagnostic at this phase is correlating persistence diagram statistics—total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persistence, number of long-lived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features, the ratio of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to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total persistence—with generator parameters (thread count for braided systems, sinuosity for meandering systems, bar spacing). If Pearson’s r &gt; 0.5 between these topological statistics and the generative parameters, this validates the connection between topological features and the physical processes that produced the geological pattern.</w:t>
      </w:r>
    </w:p>
    <w:p>
      <w:pPr>
        <w:spacing w:after="200" w:line="276"/>
      </w:pPr>
      <w:r>
        <w:rPr>
          <w:rFonts w:ascii="Times New Roman" w:cs="Times New Roman" w:eastAsia="Times New Roman" w:hAnsi="Times New Roman"/>
          <w:sz w:val="24"/>
          <w:szCs w:val="24"/>
        </w:rPr>
        <w:t xml:space="preserve">In </w:t>
      </w:r>
      <w:r>
        <w:rPr>
          <w:rFonts w:ascii="Times New Roman" w:cs="Times New Roman" w:eastAsia="Times New Roman" w:hAnsi="Times New Roman"/>
          <w:b/>
          <w:bCs/>
          <w:sz w:val="24"/>
          <w:szCs w:val="24"/>
        </w:rPr>
        <w:t xml:space="preserve">Phases 3–4</w:t>
      </w:r>
      <w:r>
        <w:rPr>
          <w:rFonts w:ascii="Times New Roman" w:cs="Times New Roman" w:eastAsia="Times New Roman" w:hAnsi="Times New Roman"/>
          <w:sz w:val="24"/>
          <w:szCs w:val="24"/>
        </w:rPr>
        <w:t xml:space="preserve">, the LOGO protocol evaluates per-pathway degradation. If the topological pathway degrades less than the classical or learned pathways under generator shift, this provides empirical evidence grounded in the stability theorem that persistent homology captures generator-invariant structure. Full Sākṣī validation applies the complete suite of ten independent witnesses: cluster purity (ARI &gt; 0.7), retrieval precision (P@10 &gt; 0.8), LOGO (&lt; 20% degradation), transfer prediction (R² &gt; 0.5), expert validation (Cohen’s κ &gt; 0.6), pathway convergence (disagreement &lt; 0.2), adversarial robustness, calibration, mixture handling, and process correlation.</w:t>
      </w:r>
    </w:p>
    <w:p>
      <w:pPr>
        <w:pStyle w:val="Heading1"/>
        <w:spacing w:before="360" w:after="200"/>
      </w:pPr>
      <w:r>
        <w:rPr>
          <w:rFonts w:ascii="Times New Roman" w:cs="Times New Roman" w:eastAsia="Times New Roman" w:hAnsi="Times New Roman"/>
          <w:b/>
          <w:bCs/>
          <w:sz w:val="32"/>
          <w:szCs w:val="32"/>
        </w:rPr>
        <w:t xml:space="preserve">3. Conclusion</w:t>
      </w:r>
    </w:p>
    <w:p>
      <w:pPr>
        <w:spacing w:after="200" w:line="276"/>
      </w:pPr>
      <w:r>
        <w:rPr>
          <w:rFonts w:ascii="Times New Roman" w:cs="Times New Roman" w:eastAsia="Times New Roman" w:hAnsi="Times New Roman"/>
          <w:sz w:val="24"/>
          <w:szCs w:val="24"/>
        </w:rPr>
        <w:t xml:space="preserve">Persistent homology provides both the mathematical rigor and the practical computational tools needed to operationalize the concept of topological “essence” in geological image analysis. The stability theorem guarantees robustness to the noise inherent in geological data. The cubical complex construction provides a natural, efficient filtration for gridded image data. The H</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hypothesis offers a specific, falsifiable prediction about the discriminative power of topological features for channel architecture classification. And the LOGO protocol, combined with the per-pathway degradation analysis, provides an empirical framework for testing whether topological features are genuinely generator-invariant. Within the Qualia Convergence Framework, persistent homology is not merely an auxiliary feature extractor—it is the </w:t>
      </w:r>
      <w:r>
        <w:rPr>
          <w:rFonts w:ascii="Times New Roman" w:cs="Times New Roman" w:eastAsia="Times New Roman" w:hAnsi="Times New Roman"/>
          <w:i/>
          <w:iCs/>
          <w:sz w:val="24"/>
          <w:szCs w:val="24"/>
        </w:rPr>
        <w:t xml:space="preserve">only</w:t>
      </w:r>
      <w:r>
        <w:rPr>
          <w:rFonts w:ascii="Times New Roman" w:cs="Times New Roman" w:eastAsia="Times New Roman" w:hAnsi="Times New Roman"/>
          <w:sz w:val="24"/>
          <w:szCs w:val="24"/>
        </w:rPr>
        <w:t xml:space="preserve"> pathway with provable stability guarantees, making it the mathematical backbone of the framework’s claim to capture the essence of geological spatial patterns.</w:t>
      </w:r>
    </w:p>
    <w:p>
      <w:r>
        <w:t xml:space="preserve"/>
      </w:r>
    </w:p>
    <w:p>
      <w:pPr>
        <w:pBdr>
          <w:top w:val="single" w:color="000000" w:sz="1" w:space="1"/>
        </w:pBdr>
      </w:pPr>
      <w:r>
        <w:t xml:space="preserve"/>
      </w:r>
    </w:p>
    <w:p>
      <w:pPr>
        <w:pStyle w:val="Heading1"/>
        <w:spacing w:before="360" w:after="200"/>
      </w:pPr>
      <w:r>
        <w:rPr>
          <w:rFonts w:ascii="Times New Roman" w:cs="Times New Roman" w:eastAsia="Times New Roman" w:hAnsi="Times New Roman"/>
          <w:b/>
          <w:bCs/>
          <w:sz w:val="32"/>
          <w:szCs w:val="32"/>
        </w:rPr>
        <w:t xml:space="preserve">References</w:t>
      </w:r>
    </w:p>
    <w:p>
      <w:pPr>
        <w:spacing w:after="120" w:line="276"/>
        <w:ind w:left="720" w:hanging="720"/>
      </w:pPr>
      <w:r>
        <w:rPr>
          <w:rFonts w:ascii="Times New Roman" w:cs="Times New Roman" w:eastAsia="Times New Roman" w:hAnsi="Times New Roman"/>
          <w:sz w:val="24"/>
          <w:szCs w:val="24"/>
        </w:rPr>
        <w:t xml:space="preserve">Adams, H., Emerson, T., Kirby, M., Neville, R., Peterson, C., Shipman, P., ... &amp; Ziegelmeier, L. (2017). Persistence images: A stable vector representation of persistent homology. Journal of Machine Learning Research, 18(8), 1–35.</w:t>
      </w:r>
    </w:p>
    <w:p>
      <w:pPr>
        <w:spacing w:after="120" w:line="276"/>
        <w:ind w:left="720" w:hanging="720"/>
      </w:pPr>
      <w:r>
        <w:rPr>
          <w:rFonts w:ascii="Times New Roman" w:cs="Times New Roman" w:eastAsia="Times New Roman" w:hAnsi="Times New Roman"/>
          <w:sz w:val="24"/>
          <w:szCs w:val="24"/>
        </w:rPr>
        <w:t xml:space="preserve">Atienza, N., González-Díaz, R., &amp; Soriano-Trigueros, M. (2020). On the stability of persistent entropy and new summary functions for topological data analysis. Pattern Recognition, 107, 107509.</w:t>
      </w:r>
    </w:p>
    <w:p>
      <w:pPr>
        <w:spacing w:after="120" w:line="276"/>
        <w:ind w:left="720" w:hanging="720"/>
      </w:pPr>
      <w:r>
        <w:rPr>
          <w:rFonts w:ascii="Times New Roman" w:cs="Times New Roman" w:eastAsia="Times New Roman" w:hAnsi="Times New Roman"/>
          <w:sz w:val="24"/>
          <w:szCs w:val="24"/>
        </w:rPr>
        <w:t xml:space="preserve">Bubenik, P. (2015). Statistical topological data analysis using persistence landscapes. Journal of Machine Learning Research, 16(3), 77–102.</w:t>
      </w:r>
    </w:p>
    <w:p>
      <w:pPr>
        <w:spacing w:after="120" w:line="276"/>
        <w:ind w:left="720" w:hanging="720"/>
      </w:pPr>
      <w:r>
        <w:rPr>
          <w:rFonts w:ascii="Times New Roman" w:cs="Times New Roman" w:eastAsia="Times New Roman" w:hAnsi="Times New Roman"/>
          <w:sz w:val="24"/>
          <w:szCs w:val="24"/>
        </w:rPr>
        <w:t xml:space="preserve">Carlsson, G. (2009). Topology and data. Bulletin of the American Mathematical Society, 46(2), 255–308.</w:t>
      </w:r>
    </w:p>
    <w:p>
      <w:pPr>
        <w:spacing w:after="120" w:line="276"/>
        <w:ind w:left="720" w:hanging="720"/>
      </w:pPr>
      <w:r>
        <w:rPr>
          <w:rFonts w:ascii="Times New Roman" w:cs="Times New Roman" w:eastAsia="Times New Roman" w:hAnsi="Times New Roman"/>
          <w:sz w:val="24"/>
          <w:szCs w:val="24"/>
        </w:rPr>
        <w:t xml:space="preserve">Chazal, F., de Silva, V., Glisse, M., &amp; Oudot, S. (2016). The structure and stability of persistence modules. SpringerBriefs in Mathematics, Springer.</w:t>
      </w:r>
    </w:p>
    <w:p>
      <w:pPr>
        <w:spacing w:after="120" w:line="276"/>
        <w:ind w:left="720" w:hanging="720"/>
      </w:pPr>
      <w:r>
        <w:rPr>
          <w:rFonts w:ascii="Times New Roman" w:cs="Times New Roman" w:eastAsia="Times New Roman" w:hAnsi="Times New Roman"/>
          <w:sz w:val="24"/>
          <w:szCs w:val="24"/>
        </w:rPr>
        <w:t xml:space="preserve">Cohen-Steiner, D., Edelsbrunner, H., &amp; Harer, J. (2007). Stability of persistence diagrams. Discrete &amp; Computational Geometry, 37(1), 103–120.</w:t>
      </w:r>
    </w:p>
    <w:p>
      <w:pPr>
        <w:spacing w:after="120" w:line="276"/>
        <w:ind w:left="720" w:hanging="720"/>
      </w:pPr>
      <w:r>
        <w:rPr>
          <w:rFonts w:ascii="Times New Roman" w:cs="Times New Roman" w:eastAsia="Times New Roman" w:hAnsi="Times New Roman"/>
          <w:sz w:val="24"/>
          <w:szCs w:val="24"/>
        </w:rPr>
        <w:t xml:space="preserve">Edelsbrunner, H., &amp; Harer, J. (2010). Computational topology: An introduction. American Mathematical Society.</w:t>
      </w:r>
    </w:p>
    <w:p>
      <w:pPr>
        <w:spacing w:after="120" w:line="276"/>
        <w:ind w:left="720" w:hanging="720"/>
      </w:pPr>
      <w:r>
        <w:rPr>
          <w:rFonts w:ascii="Times New Roman" w:cs="Times New Roman" w:eastAsia="Times New Roman" w:hAnsi="Times New Roman"/>
          <w:sz w:val="24"/>
          <w:szCs w:val="24"/>
        </w:rPr>
        <w:t xml:space="preserve">Edelsbrunner, H., Letscher, D., &amp; Zomorodian, A. (2002). Topological persistence and simplification. Discrete &amp; Computational Geometry, 28(4), 511–533.</w:t>
      </w:r>
    </w:p>
    <w:p>
      <w:pPr>
        <w:spacing w:after="120" w:line="276"/>
        <w:ind w:left="720" w:hanging="720"/>
      </w:pPr>
      <w:r>
        <w:rPr>
          <w:rFonts w:ascii="Times New Roman" w:cs="Times New Roman" w:eastAsia="Times New Roman" w:hAnsi="Times New Roman"/>
          <w:sz w:val="24"/>
          <w:szCs w:val="24"/>
        </w:rPr>
        <w:t xml:space="preserve">Kaczynski, T., Mischaikow, K., &amp; Mrozek, M. (2004). Computational homology. Applied Mathematical Sciences, Vol. 157, Springer.</w:t>
      </w:r>
    </w:p>
    <w:p>
      <w:pPr>
        <w:spacing w:after="120" w:line="276"/>
        <w:ind w:left="720" w:hanging="720"/>
      </w:pPr>
      <w:r>
        <w:rPr>
          <w:rFonts w:ascii="Times New Roman" w:cs="Times New Roman" w:eastAsia="Times New Roman" w:hAnsi="Times New Roman"/>
          <w:sz w:val="24"/>
          <w:szCs w:val="24"/>
        </w:rPr>
        <w:t xml:space="preserve">Kaji, S., Sudo, T., &amp; Ahara, K. (2020). Cubical Ripser: Software for computing persistent homology of image and volume data. arXiv:2005.12692.</w:t>
      </w:r>
    </w:p>
    <w:p>
      <w:pPr>
        <w:spacing w:after="120" w:line="276"/>
        <w:ind w:left="720" w:hanging="720"/>
      </w:pPr>
      <w:r>
        <w:rPr>
          <w:rFonts w:ascii="Times New Roman" w:cs="Times New Roman" w:eastAsia="Times New Roman" w:hAnsi="Times New Roman"/>
          <w:sz w:val="24"/>
          <w:szCs w:val="24"/>
        </w:rPr>
        <w:t xml:space="preserve">Kemmea, A.J., &amp; Agyingi, C.A. (2025). Persistent homology: A pedagogical introduction with biological applications. arXiv:2505.06583.</w:t>
      </w:r>
    </w:p>
    <w:p>
      <w:pPr>
        <w:spacing w:after="120" w:line="276"/>
        <w:ind w:left="720" w:hanging="720"/>
      </w:pPr>
      <w:r>
        <w:rPr>
          <w:rFonts w:ascii="Times New Roman" w:cs="Times New Roman" w:eastAsia="Times New Roman" w:hAnsi="Times New Roman"/>
          <w:sz w:val="24"/>
          <w:szCs w:val="24"/>
        </w:rPr>
        <w:t xml:space="preserve">Maria, C., Boissonnat, J.-D., Glisse, M., &amp; Yvinec, M. (2014). The Gudhi library: Simplicial complexes and persistent homology. In International Congress on Mathematical Software, LNCS 8592, 167–174.</w:t>
      </w:r>
    </w:p>
    <w:p>
      <w:pPr>
        <w:spacing w:after="120" w:line="276"/>
        <w:ind w:left="720" w:hanging="720"/>
      </w:pPr>
      <w:r>
        <w:rPr>
          <w:rFonts w:ascii="Times New Roman" w:cs="Times New Roman" w:eastAsia="Times New Roman" w:hAnsi="Times New Roman"/>
          <w:sz w:val="24"/>
          <w:szCs w:val="24"/>
        </w:rPr>
        <w:t xml:space="preserve">Moon, C., Mitchell, S.A., Heath, J.E., &amp; Andrew, M. (2019). Statistical inference over persistent homology predicts fluid flow in porous media. Water Resources Research, 55(12), 9592–9603.</w:t>
      </w:r>
    </w:p>
    <w:p>
      <w:pPr>
        <w:spacing w:after="120" w:line="276"/>
        <w:ind w:left="720" w:hanging="720"/>
      </w:pPr>
      <w:r>
        <w:rPr>
          <w:rFonts w:ascii="Times New Roman" w:cs="Times New Roman" w:eastAsia="Times New Roman" w:hAnsi="Times New Roman"/>
          <w:sz w:val="24"/>
          <w:szCs w:val="24"/>
        </w:rPr>
        <w:t xml:space="preserve">Otter, N., Porter, M.A., Tillmann, U., Grindrod, P., &amp; Harrington, H.A. (2017). A roadmap for the computation of persistent homology. EPJ Data Science, 6, Article 17.</w:t>
      </w:r>
    </w:p>
    <w:p>
      <w:pPr>
        <w:spacing w:after="120" w:line="276"/>
        <w:ind w:left="720" w:hanging="720"/>
      </w:pPr>
      <w:r>
        <w:rPr>
          <w:rFonts w:ascii="Times New Roman" w:cs="Times New Roman" w:eastAsia="Times New Roman" w:hAnsi="Times New Roman"/>
          <w:sz w:val="24"/>
          <w:szCs w:val="24"/>
        </w:rPr>
        <w:t xml:space="preserve">Oudot, S.Y. (2015). Persistence theory: From quiver representations to data analysis. Mathematical Surveys and Monographs, Vol. 209, AMS.</w:t>
      </w:r>
    </w:p>
    <w:p>
      <w:pPr>
        <w:spacing w:after="120" w:line="276"/>
        <w:ind w:left="720" w:hanging="720"/>
      </w:pPr>
      <w:r>
        <w:rPr>
          <w:rFonts w:ascii="Times New Roman" w:cs="Times New Roman" w:eastAsia="Times New Roman" w:hAnsi="Times New Roman"/>
          <w:sz w:val="24"/>
          <w:szCs w:val="24"/>
        </w:rPr>
        <w:t xml:space="preserve">Robins, V., Saadatfar, M., Delgado-Friedrichs, O., &amp; Sheppard, A.P. (2016). Percolating length scales from topological persistence analysis of micro-CT images of porous materials. Water Resources Research, 52(1), 315–329.</w:t>
      </w:r>
    </w:p>
    <w:p>
      <w:pPr>
        <w:spacing w:after="120" w:line="276"/>
        <w:ind w:left="720" w:hanging="720"/>
      </w:pPr>
      <w:r>
        <w:rPr>
          <w:rFonts w:ascii="Times New Roman" w:cs="Times New Roman" w:eastAsia="Times New Roman" w:hAnsi="Times New Roman"/>
          <w:sz w:val="24"/>
          <w:szCs w:val="24"/>
        </w:rPr>
        <w:t xml:space="preserve">Tauzin, G., Lupo, U., Tunstall, L., et al. (2021). giotto-tda: A topological data analysis toolkit for machine learning and data exploration. Journal of Machine Learning Research, 22(39), 1–6.</w:t>
      </w:r>
    </w:p>
    <w:p>
      <w:pPr>
        <w:spacing w:after="120" w:line="276"/>
        <w:ind w:left="720" w:hanging="720"/>
      </w:pPr>
      <w:r>
        <w:rPr>
          <w:rFonts w:ascii="Times New Roman" w:cs="Times New Roman" w:eastAsia="Times New Roman" w:hAnsi="Times New Roman"/>
          <w:sz w:val="24"/>
          <w:szCs w:val="24"/>
        </w:rPr>
        <w:t xml:space="preserve">Wagner, H., Chen, C., &amp; Vuçini, E. (2012). Efficient computation of persistent homology for cubical data. In Topological Methods in Data Analysis and Visualization II, Springer.</w:t>
      </w:r>
    </w:p>
    <w:p>
      <w:pPr>
        <w:spacing w:after="120" w:line="276"/>
        <w:ind w:left="720" w:hanging="720"/>
      </w:pPr>
      <w:r>
        <w:rPr>
          <w:rFonts w:ascii="Times New Roman" w:cs="Times New Roman" w:eastAsia="Times New Roman" w:hAnsi="Times New Roman"/>
          <w:sz w:val="24"/>
          <w:szCs w:val="24"/>
        </w:rPr>
        <w:t xml:space="preserve">Zomorodian, A., &amp; Carlsson, G. (2005). Computing persistent homology. Discrete &amp; Computational Geometry, 33(2), 249–274.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2026-02-27T04:50:07.525Z</dcterms:created>
  <dcterms:modified xsi:type="dcterms:W3CDTF">2026-02-27T04:50:07.526Z</dcterms:modified>
</cp:coreProperties>
</file>

<file path=docProps/custom.xml><?xml version="1.0" encoding="utf-8"?>
<Properties xmlns="http://schemas.openxmlformats.org/officeDocument/2006/custom-properties" xmlns:vt="http://schemas.openxmlformats.org/officeDocument/2006/docPropsVTypes"/>
</file>