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D1B2" w14:textId="77777777" w:rsidR="008F086F" w:rsidRDefault="00000000">
      <w:pPr>
        <w:spacing w:after="100"/>
        <w:jc w:val="center"/>
      </w:pPr>
      <w:r>
        <w:rPr>
          <w:b/>
          <w:bCs/>
          <w:sz w:val="36"/>
          <w:szCs w:val="36"/>
        </w:rPr>
        <w:t>Persistent Homology and Its Application to</w:t>
      </w:r>
    </w:p>
    <w:p w14:paraId="5A68D1B3" w14:textId="77777777" w:rsidR="008F086F" w:rsidRDefault="00000000">
      <w:pPr>
        <w:spacing w:after="100"/>
        <w:jc w:val="center"/>
      </w:pPr>
      <w:r>
        <w:rPr>
          <w:b/>
          <w:bCs/>
          <w:sz w:val="36"/>
          <w:szCs w:val="36"/>
        </w:rPr>
        <w:t>Geological Analog Retrieval</w:t>
      </w:r>
    </w:p>
    <w:p w14:paraId="5A68D1B4" w14:textId="77777777" w:rsidR="008F086F" w:rsidRDefault="00000000">
      <w:pPr>
        <w:spacing w:after="60"/>
        <w:jc w:val="center"/>
      </w:pPr>
      <w:r>
        <w:rPr>
          <w:i/>
          <w:iCs/>
        </w:rPr>
        <w:t>The Topological Pathway of the Qualia Convergence Framework</w:t>
      </w:r>
    </w:p>
    <w:p w14:paraId="5A68D1B5" w14:textId="77777777" w:rsidR="008F086F" w:rsidRDefault="00000000">
      <w:pPr>
        <w:spacing w:after="60"/>
        <w:jc w:val="center"/>
      </w:pPr>
      <w:r>
        <w:t>Corey</w:t>
      </w:r>
    </w:p>
    <w:p w14:paraId="5A68D1B6" w14:textId="77777777" w:rsidR="008F086F" w:rsidRDefault="00000000">
      <w:pPr>
        <w:spacing w:after="400"/>
        <w:jc w:val="center"/>
      </w:pPr>
      <w:r>
        <w:t>February 2026</w:t>
      </w:r>
    </w:p>
    <w:p w14:paraId="5A68D1B7" w14:textId="77777777" w:rsidR="008F086F" w:rsidRDefault="00000000">
      <w:pPr>
        <w:spacing w:after="200" w:line="276" w:lineRule="auto"/>
      </w:pPr>
      <w:r>
        <w:rPr>
          <w:b/>
          <w:bCs/>
        </w:rPr>
        <w:t xml:space="preserve">Abstract. </w:t>
      </w:r>
      <w:r>
        <w:t xml:space="preserve">This paper introduces persistent homology (PH), a central tool in topological data analysis, and details its role within the Qualia Convergence Framework for depositional analog retrieval. Persistent homology provides a mathematically rigorous method for extracting multi-scale topological features—connected components, loops, and voids—from complex data, with provable stability guarantees under perturbation. We present the core mathematical machinery following the pedagogical framework of </w:t>
      </w:r>
      <w:proofErr w:type="spellStart"/>
      <w:r>
        <w:t>Kemmea</w:t>
      </w:r>
      <w:proofErr w:type="spellEnd"/>
      <w:r>
        <w:t xml:space="preserve"> and </w:t>
      </w:r>
      <w:proofErr w:type="spellStart"/>
      <w:r>
        <w:t>Agyingi</w:t>
      </w:r>
      <w:proofErr w:type="spellEnd"/>
      <w:r>
        <w:t xml:space="preserve"> (2025), then demonstrate how PH serves as the topological pathway in a three-pathway architecture designed to answer a fundamental question in subsurface characterization: </w:t>
      </w:r>
      <w:r>
        <w:rPr>
          <w:i/>
          <w:iCs/>
        </w:rPr>
        <w:t>What is the essence of a geological image?</w:t>
      </w:r>
      <w:r>
        <w:t xml:space="preserve"> We describe the specific hypothesis that first-dimensional persistent homology (H</w:t>
      </w:r>
      <w:r>
        <w:rPr>
          <w:vertAlign w:val="subscript"/>
        </w:rPr>
        <w:t>1</w:t>
      </w:r>
      <w:r>
        <w:t>) discriminates braided from meandering channel architectures even when classical geostatistical descriptors are matched, and outline the implementation strategy using cubical complexes, persistence-based vectorization, and the Leave-One-Generator-Out (LOGO) validation protocol.</w:t>
      </w:r>
    </w:p>
    <w:p w14:paraId="5A68D1B8" w14:textId="77777777" w:rsidR="008F086F" w:rsidRDefault="00000000">
      <w:pPr>
        <w:pStyle w:val="Heading1"/>
      </w:pPr>
      <w:r>
        <w:t>1. Introduction to Persistent Homology</w:t>
      </w:r>
    </w:p>
    <w:p w14:paraId="5A68D1B9" w14:textId="77777777" w:rsidR="008F086F" w:rsidRDefault="00000000">
      <w:pPr>
        <w:pStyle w:val="Heading2"/>
      </w:pPr>
      <w:r>
        <w:t>1.1 From Topology to Data Analysis</w:t>
      </w:r>
    </w:p>
    <w:p w14:paraId="5A68D1BA" w14:textId="77777777" w:rsidR="008F086F" w:rsidRDefault="00000000">
      <w:pPr>
        <w:spacing w:after="200" w:line="276" w:lineRule="auto"/>
      </w:pPr>
      <w:r>
        <w:t>Topology is the branch of mathematics concerned with properties of shapes that are preserved under continuous deformations—stretching, bending, and twisting—but not tearing or gluing. The classical example is the homeomorphism between a coffee mug and a doughnut: both possess exactly one hole, making them topologically equivalent despite their geometric dissimilarity (</w:t>
      </w:r>
      <w:proofErr w:type="spellStart"/>
      <w:r>
        <w:t>Kemmea</w:t>
      </w:r>
      <w:proofErr w:type="spellEnd"/>
      <w:r>
        <w:t xml:space="preserve"> &amp; </w:t>
      </w:r>
      <w:proofErr w:type="spellStart"/>
      <w:r>
        <w:t>Agyingi</w:t>
      </w:r>
      <w:proofErr w:type="spellEnd"/>
      <w:r>
        <w:t xml:space="preserve">, 2025). This focus on </w:t>
      </w:r>
      <w:r>
        <w:rPr>
          <w:i/>
          <w:iCs/>
        </w:rPr>
        <w:t>invariant structure</w:t>
      </w:r>
      <w:r>
        <w:t xml:space="preserve"> rather than metric detail is precisely what makes topology powerful for data analysis.</w:t>
      </w:r>
    </w:p>
    <w:p w14:paraId="5A68D1BB" w14:textId="77777777" w:rsidR="008F086F" w:rsidRDefault="00000000">
      <w:pPr>
        <w:spacing w:after="200" w:line="276" w:lineRule="auto"/>
      </w:pPr>
      <w:r>
        <w:t>Topological Data Analysis (TDA) emerged from the recognition that real-world datasets—point clouds sampled from unknown manifolds, images of complex structures, time series of dynamical systems—possess intrinsic shape that carries meaningful information beyond what statistical summaries capture. Conventional machine learning approaches, whether supervised or unsupervised, rely primarily on statistical relationships, local density estimations, or distance-based measures within datasets (Carlsson, 2009). These methods effectively capture local structure but often fail to detect global topological features such as loops, tunnels, or voids that may encode essential characteristics of the data-generating process.</w:t>
      </w:r>
    </w:p>
    <w:p w14:paraId="5A68D1BC" w14:textId="77777777" w:rsidR="008F086F" w:rsidRDefault="00000000">
      <w:pPr>
        <w:spacing w:after="200" w:line="276" w:lineRule="auto"/>
      </w:pPr>
      <w:r>
        <w:lastRenderedPageBreak/>
        <w:t xml:space="preserve">Persistent homology (PH), the central computational tool of TDA, addresses this limitation. Developed through foundational work by Edelsbrunner, Letscher, and </w:t>
      </w:r>
      <w:proofErr w:type="spellStart"/>
      <w:r>
        <w:t>Zomorodian</w:t>
      </w:r>
      <w:proofErr w:type="spellEnd"/>
      <w:r>
        <w:t xml:space="preserve"> (2002) and </w:t>
      </w:r>
      <w:proofErr w:type="spellStart"/>
      <w:r>
        <w:t>Zomorodian</w:t>
      </w:r>
      <w:proofErr w:type="spellEnd"/>
      <w:r>
        <w:t xml:space="preserve"> and Carlsson (2005), PH constructs a sequence of nested topological spaces from data and tracks how topological features—connected components (H</w:t>
      </w:r>
      <w:r>
        <w:rPr>
          <w:vertAlign w:val="subscript"/>
        </w:rPr>
        <w:t>0</w:t>
      </w:r>
      <w:r>
        <w:t>), loops and cycles (H</w:t>
      </w:r>
      <w:r>
        <w:rPr>
          <w:vertAlign w:val="subscript"/>
        </w:rPr>
        <w:t>1</w:t>
      </w:r>
      <w:r>
        <w:t>), and enclosed voids (H</w:t>
      </w:r>
      <w:r>
        <w:rPr>
          <w:vertAlign w:val="subscript"/>
        </w:rPr>
        <w:t>2</w:t>
      </w:r>
      <w:r>
        <w:t>)—are born and die across multiple scales. Features that persist over a wide range of scales are interpreted as genuine structural properties; those that appear and vanish quickly are attributed to noise.</w:t>
      </w:r>
    </w:p>
    <w:p w14:paraId="5A68D1BD" w14:textId="77777777" w:rsidR="008F086F" w:rsidRDefault="00000000">
      <w:pPr>
        <w:pStyle w:val="Heading2"/>
      </w:pPr>
      <w:r>
        <w:t>1.2 Simplicial Complexes: Building Shapes from Data</w:t>
      </w:r>
    </w:p>
    <w:p w14:paraId="5A68D1BE" w14:textId="77777777" w:rsidR="008F086F" w:rsidRDefault="00000000">
      <w:pPr>
        <w:spacing w:after="200" w:line="276" w:lineRule="auto"/>
      </w:pPr>
      <w:r>
        <w:t xml:space="preserve">The bridge from raw data to topological analysis is the </w:t>
      </w:r>
      <w:r>
        <w:rPr>
          <w:i/>
          <w:iCs/>
        </w:rPr>
        <w:t>simplicial complex</w:t>
      </w:r>
      <w:r>
        <w:t xml:space="preserve">, a combinatorial structure that systematically builds higher-dimensional shapes from points. A 0-simplex is a point, a 1-simplex is an edge connecting two points, a 2-simplex is a filled triangle, and a 3-simplex is a solid tetrahedron. An abstract simplicial complex K over a vertex set V is a collection of non-empty subsets of V satisfying the </w:t>
      </w:r>
      <w:r>
        <w:rPr>
          <w:i/>
          <w:iCs/>
        </w:rPr>
        <w:t>closure property</w:t>
      </w:r>
      <w:r>
        <w:t>: if a simplex σ belongs to K, then every subset (face) of σ also belongs to K (</w:t>
      </w:r>
      <w:proofErr w:type="spellStart"/>
      <w:r>
        <w:t>Kemmea</w:t>
      </w:r>
      <w:proofErr w:type="spellEnd"/>
      <w:r>
        <w:t xml:space="preserve"> &amp; </w:t>
      </w:r>
      <w:proofErr w:type="spellStart"/>
      <w:r>
        <w:t>Agyingi</w:t>
      </w:r>
      <w:proofErr w:type="spellEnd"/>
      <w:r>
        <w:t>, 2025). Intuitively, including a triangle requires including all three of its edges and all three of its vertices.</w:t>
      </w:r>
    </w:p>
    <w:p w14:paraId="5A68D1BF" w14:textId="77777777" w:rsidR="008F086F" w:rsidRDefault="00000000">
      <w:pPr>
        <w:spacing w:after="200" w:line="276" w:lineRule="auto"/>
      </w:pPr>
      <w:r>
        <w:t xml:space="preserve">For point cloud data embedded in a metric space, simplicial complexes are constructed by connecting points based on proximity. Given a threshold distance ε, two points are connected by an edge if their pairwise distance is at most ε. When all pairwise distances among a group of points satisfy this threshold, the corresponding higher-dimensional simplex is included. The most common construction, the Vietoris–Rips complex, includes a k-simplex whenever all (k+1) vertices are pairwise within distance ε (Otter et al., 2017). For image data organized on pixel grids, an alternative construction—the </w:t>
      </w:r>
      <w:r>
        <w:rPr>
          <w:i/>
          <w:iCs/>
        </w:rPr>
        <w:t>cubical complex</w:t>
      </w:r>
      <w:r>
        <w:t>—is computationally more natural and efficient, as we discuss in Part II.</w:t>
      </w:r>
    </w:p>
    <w:p w14:paraId="5A68D1C0" w14:textId="77777777" w:rsidR="008F086F" w:rsidRDefault="00000000">
      <w:pPr>
        <w:pStyle w:val="Heading2"/>
      </w:pPr>
      <w:r>
        <w:t>1.3 Homology: Detecting Holes Algebraically</w:t>
      </w:r>
    </w:p>
    <w:p w14:paraId="5A68D1C1" w14:textId="77777777" w:rsidR="008F086F" w:rsidRDefault="00000000">
      <w:pPr>
        <w:spacing w:after="200" w:line="276" w:lineRule="auto"/>
      </w:pPr>
      <w:r>
        <w:t>Homology translates the geometric question “how many holes does this shape have?” into linear algebra. For each dimension k, the k-simplices of a complex K generate a vector space C</w:t>
      </w:r>
      <w:r>
        <w:rPr>
          <w:vertAlign w:val="subscript"/>
        </w:rPr>
        <w:t>k</w:t>
      </w:r>
      <w:r>
        <w:t>(K) called the k</w:t>
      </w:r>
      <w:r>
        <w:rPr>
          <w:vertAlign w:val="superscript"/>
        </w:rPr>
        <w:t>th</w:t>
      </w:r>
      <w:r>
        <w:t xml:space="preserve"> chain group, where elements (k-chains) are formal sums of k-simplices with coefficients in ℤ</w:t>
      </w:r>
      <w:r>
        <w:rPr>
          <w:vertAlign w:val="subscript"/>
        </w:rPr>
        <w:t>2</w:t>
      </w:r>
      <w:r>
        <w:t xml:space="preserve"> = {0, 1} (</w:t>
      </w:r>
      <w:proofErr w:type="spellStart"/>
      <w:r>
        <w:t>Kemmea</w:t>
      </w:r>
      <w:proofErr w:type="spellEnd"/>
      <w:r>
        <w:t xml:space="preserve"> &amp; </w:t>
      </w:r>
      <w:proofErr w:type="spellStart"/>
      <w:r>
        <w:t>Agyingi</w:t>
      </w:r>
      <w:proofErr w:type="spellEnd"/>
      <w:r>
        <w:t xml:space="preserve">, 2025). The </w:t>
      </w:r>
      <w:r>
        <w:rPr>
          <w:i/>
          <w:iCs/>
        </w:rPr>
        <w:t>boundary map</w:t>
      </w:r>
      <w:r>
        <w:t xml:space="preserve"> </w:t>
      </w:r>
      <w:proofErr w:type="spellStart"/>
      <w:r>
        <w:t>δ</w:t>
      </w:r>
      <w:r>
        <w:rPr>
          <w:vertAlign w:val="subscript"/>
        </w:rPr>
        <w:t>k</w:t>
      </w:r>
      <w:proofErr w:type="spellEnd"/>
      <w:r>
        <w:t>: C</w:t>
      </w:r>
      <w:r>
        <w:rPr>
          <w:vertAlign w:val="subscript"/>
        </w:rPr>
        <w:t>k</w:t>
      </w:r>
      <w:r>
        <w:t xml:space="preserve"> → C</w:t>
      </w:r>
      <w:r>
        <w:rPr>
          <w:vertAlign w:val="subscript"/>
        </w:rPr>
        <w:t>k−1</w:t>
      </w:r>
      <w:r>
        <w:t xml:space="preserve"> sends each k-simplex to the sum of its (k−1)-dimensional faces. Over ℤ</w:t>
      </w:r>
      <w:r>
        <w:rPr>
          <w:vertAlign w:val="subscript"/>
        </w:rPr>
        <w:t>2</w:t>
      </w:r>
      <w:r>
        <w:t>, signs are suppressed and cancellation occurs when a face appears an even number of times. A fundamental property is that applying boundary maps twice always yields zero: δ</w:t>
      </w:r>
      <w:r>
        <w:rPr>
          <w:vertAlign w:val="subscript"/>
        </w:rPr>
        <w:t>k−1</w:t>
      </w:r>
      <w:r>
        <w:t xml:space="preserve"> ∘ </w:t>
      </w:r>
      <w:proofErr w:type="spellStart"/>
      <w:r>
        <w:t>δ</w:t>
      </w:r>
      <w:r>
        <w:rPr>
          <w:vertAlign w:val="subscript"/>
        </w:rPr>
        <w:t>k</w:t>
      </w:r>
      <w:proofErr w:type="spellEnd"/>
      <w:r>
        <w:t xml:space="preserve"> = 0. This means every boundary is automatically a cycle, but not every cycle is a boundary.</w:t>
      </w:r>
    </w:p>
    <w:p w14:paraId="5A68D1C2" w14:textId="77777777" w:rsidR="008F086F" w:rsidRDefault="00000000">
      <w:pPr>
        <w:spacing w:after="200" w:line="276" w:lineRule="auto"/>
      </w:pPr>
      <w:r>
        <w:t>The k</w:t>
      </w:r>
      <w:r>
        <w:rPr>
          <w:vertAlign w:val="superscript"/>
        </w:rPr>
        <w:t>th</w:t>
      </w:r>
      <w:r>
        <w:t xml:space="preserve"> homology group </w:t>
      </w:r>
      <w:proofErr w:type="spellStart"/>
      <w:r>
        <w:t>H</w:t>
      </w:r>
      <w:r>
        <w:rPr>
          <w:vertAlign w:val="subscript"/>
        </w:rPr>
        <w:t>k</w:t>
      </w:r>
      <w:proofErr w:type="spellEnd"/>
      <w:r>
        <w:t xml:space="preserve">(K) = </w:t>
      </w:r>
      <w:proofErr w:type="spellStart"/>
      <w:r>
        <w:t>ker</w:t>
      </w:r>
      <w:proofErr w:type="spellEnd"/>
      <w:r>
        <w:t>(</w:t>
      </w:r>
      <w:proofErr w:type="spellStart"/>
      <w:r>
        <w:t>δ</w:t>
      </w:r>
      <w:r>
        <w:rPr>
          <w:vertAlign w:val="subscript"/>
        </w:rPr>
        <w:t>k</w:t>
      </w:r>
      <w:proofErr w:type="spellEnd"/>
      <w:r>
        <w:t xml:space="preserve">) / </w:t>
      </w:r>
      <w:proofErr w:type="spellStart"/>
      <w:r>
        <w:t>im</w:t>
      </w:r>
      <w:proofErr w:type="spellEnd"/>
      <w:r>
        <w:t>(δ</w:t>
      </w:r>
      <w:r>
        <w:rPr>
          <w:vertAlign w:val="subscript"/>
        </w:rPr>
        <w:t>k+1</w:t>
      </w:r>
      <w:r>
        <w:t xml:space="preserve">) captures precisely the k-dimensional cycles that are </w:t>
      </w:r>
      <w:r>
        <w:rPr>
          <w:i/>
          <w:iCs/>
        </w:rPr>
        <w:t>not</w:t>
      </w:r>
      <w:r>
        <w:t xml:space="preserve"> boundaries of (k+1)-dimensional simplices—these are the “holes” in dimension k. The dimension of </w:t>
      </w:r>
      <w:proofErr w:type="spellStart"/>
      <w:r>
        <w:t>H</w:t>
      </w:r>
      <w:r>
        <w:rPr>
          <w:vertAlign w:val="subscript"/>
        </w:rPr>
        <w:t>k</w:t>
      </w:r>
      <w:proofErr w:type="spellEnd"/>
      <w:r>
        <w:t xml:space="preserve"> is the k</w:t>
      </w:r>
      <w:r>
        <w:rPr>
          <w:vertAlign w:val="superscript"/>
        </w:rPr>
        <w:t>th</w:t>
      </w:r>
      <w:r>
        <w:t xml:space="preserve"> Betti number β</w:t>
      </w:r>
      <w:r>
        <w:rPr>
          <w:vertAlign w:val="subscript"/>
        </w:rPr>
        <w:t>k</w:t>
      </w:r>
      <w:r>
        <w:t>. For geological images: β</w:t>
      </w:r>
      <w:r>
        <w:rPr>
          <w:vertAlign w:val="subscript"/>
        </w:rPr>
        <w:t>0</w:t>
      </w:r>
      <w:r>
        <w:t xml:space="preserve"> counts isolated </w:t>
      </w:r>
      <w:r>
        <w:lastRenderedPageBreak/>
        <w:t>connected regions (e.g., separate sand bodies), β</w:t>
      </w:r>
      <w:r>
        <w:rPr>
          <w:vertAlign w:val="subscript"/>
        </w:rPr>
        <w:t>1</w:t>
      </w:r>
      <w:r>
        <w:t xml:space="preserve"> counts independent loops or cycles (e.g., closed channel networks, oxbow lakes), and β</w:t>
      </w:r>
      <w:r>
        <w:rPr>
          <w:vertAlign w:val="subscript"/>
        </w:rPr>
        <w:t>2</w:t>
      </w:r>
      <w:r>
        <w:t xml:space="preserve"> counts enclosed voids.</w:t>
      </w:r>
    </w:p>
    <w:p w14:paraId="5A68D1C3" w14:textId="77777777" w:rsidR="008F086F" w:rsidRDefault="00000000">
      <w:pPr>
        <w:pStyle w:val="Heading2"/>
      </w:pPr>
      <w:r>
        <w:t>1.4 Persistent Homology: Tracking Features Across Scales</w:t>
      </w:r>
    </w:p>
    <w:p w14:paraId="5A68D1C4" w14:textId="77777777" w:rsidR="008F086F" w:rsidRDefault="00000000">
      <w:pPr>
        <w:spacing w:after="200" w:line="276" w:lineRule="auto"/>
      </w:pPr>
      <w:r>
        <w:t xml:space="preserve">A single simplicial complex computed at a fixed threshold captures topology at only one scale. Persistent homology resolves this by constructing a </w:t>
      </w:r>
      <w:r>
        <w:rPr>
          <w:i/>
          <w:iCs/>
        </w:rPr>
        <w:t>filtration</w:t>
      </w:r>
      <w:r>
        <w:t>—a nested sequence of complexes K</w:t>
      </w:r>
      <w:r>
        <w:rPr>
          <w:vertAlign w:val="subscript"/>
        </w:rPr>
        <w:t>0</w:t>
      </w:r>
      <w:r>
        <w:t xml:space="preserve"> ⊆ K</w:t>
      </w:r>
      <w:r>
        <w:rPr>
          <w:vertAlign w:val="subscript"/>
        </w:rPr>
        <w:t>1</w:t>
      </w:r>
      <w:r>
        <w:t xml:space="preserve"> ⊆ … ⊆ </w:t>
      </w:r>
      <w:proofErr w:type="spellStart"/>
      <w:r>
        <w:t>K</w:t>
      </w:r>
      <w:r>
        <w:rPr>
          <w:vertAlign w:val="subscript"/>
        </w:rPr>
        <w:t>n</w:t>
      </w:r>
      <w:proofErr w:type="spellEnd"/>
      <w:r>
        <w:t xml:space="preserve"> obtained by gradually increasing the scale parameter ε—and computing homology at each stage. As ε increases, topological features are </w:t>
      </w:r>
      <w:r>
        <w:rPr>
          <w:i/>
          <w:iCs/>
        </w:rPr>
        <w:t>born</w:t>
      </w:r>
      <w:r>
        <w:t xml:space="preserve"> (a new cycle appears that is not a boundary) and </w:t>
      </w:r>
      <w:r>
        <w:rPr>
          <w:i/>
          <w:iCs/>
        </w:rPr>
        <w:t>die</w:t>
      </w:r>
      <w:r>
        <w:t xml:space="preserve"> (a cycle becomes a boundary when a higher-dimensional simplex fills it in). The </w:t>
      </w:r>
      <w:r>
        <w:rPr>
          <w:i/>
          <w:iCs/>
        </w:rPr>
        <w:t>persistence</w:t>
      </w:r>
      <w:r>
        <w:t xml:space="preserve"> of a feature is the interval [birth, death], and features with long persistence are considered topologically significant.</w:t>
      </w:r>
    </w:p>
    <w:p w14:paraId="5A68D1C5" w14:textId="77777777" w:rsidR="008F086F" w:rsidRDefault="00000000">
      <w:pPr>
        <w:spacing w:after="200" w:line="276" w:lineRule="auto"/>
      </w:pPr>
      <w:r>
        <w:t xml:space="preserve">These birth-death intervals are visualized in two equivalent formats. A </w:t>
      </w:r>
      <w:r>
        <w:rPr>
          <w:i/>
          <w:iCs/>
        </w:rPr>
        <w:t>persistence barcode</w:t>
      </w:r>
      <w:r>
        <w:t xml:space="preserve"> represents each feature as a horizontal line segment whose length equals its persistence. A </w:t>
      </w:r>
      <w:r>
        <w:rPr>
          <w:i/>
          <w:iCs/>
        </w:rPr>
        <w:t>persistence diagram</w:t>
      </w:r>
      <w:r>
        <w:t xml:space="preserve"> plots each feature as a point (birth, death) in the plane, where the diagonal y = x represents zero persistence. Features far from the diagonal are topologically significant; those near the diagonal are noise (</w:t>
      </w:r>
      <w:proofErr w:type="spellStart"/>
      <w:r>
        <w:t>Edelsbrunner</w:t>
      </w:r>
      <w:proofErr w:type="spellEnd"/>
      <w:r>
        <w:t xml:space="preserve"> &amp; Harer, 2010). The structure theorem for persistence modules (Chazal et al., 2016; </w:t>
      </w:r>
      <w:proofErr w:type="spellStart"/>
      <w:r>
        <w:t>Oudot</w:t>
      </w:r>
      <w:proofErr w:type="spellEnd"/>
      <w:r>
        <w:t>, 2015) guarantees that the persistent homology of any finite filtered complex can be completely characterized by such a multiset of intervals.</w:t>
      </w:r>
    </w:p>
    <w:p w14:paraId="5A68D1C6" w14:textId="77777777" w:rsidR="008F086F" w:rsidRDefault="00000000">
      <w:pPr>
        <w:pStyle w:val="Heading2"/>
      </w:pPr>
      <w:r>
        <w:t>1.5 Stability: Why Persistent Homology Is Robust</w:t>
      </w:r>
    </w:p>
    <w:p w14:paraId="5A68D1C7" w14:textId="77777777" w:rsidR="008F086F" w:rsidRDefault="00000000">
      <w:pPr>
        <w:spacing w:after="200" w:line="276" w:lineRule="auto"/>
      </w:pPr>
      <w:r>
        <w:t xml:space="preserve">The theoretical guarantee that makes PH practically viable is the </w:t>
      </w:r>
      <w:r>
        <w:rPr>
          <w:i/>
          <w:iCs/>
        </w:rPr>
        <w:t>stability theorem</w:t>
      </w:r>
      <w:r>
        <w:t xml:space="preserve"> of Cohen-Steiner, </w:t>
      </w:r>
      <w:proofErr w:type="spellStart"/>
      <w:r>
        <w:t>Edelsbrunner</w:t>
      </w:r>
      <w:proofErr w:type="spellEnd"/>
      <w:r>
        <w:t>, and Harer (2007): for tame functions f and g on a triangulable space, the bottleneck distance between their persistence diagrams is bounded by the supremum norm of their difference, d</w:t>
      </w:r>
      <w:r>
        <w:rPr>
          <w:vertAlign w:val="subscript"/>
        </w:rPr>
        <w:t>B</w:t>
      </w:r>
      <w:r>
        <w:t>(</w:t>
      </w:r>
      <w:proofErr w:type="spellStart"/>
      <w:r>
        <w:t>Dgm</w:t>
      </w:r>
      <w:proofErr w:type="spellEnd"/>
      <w:r>
        <w:t xml:space="preserve">(f), </w:t>
      </w:r>
      <w:proofErr w:type="spellStart"/>
      <w:r>
        <w:t>Dgm</w:t>
      </w:r>
      <w:proofErr w:type="spellEnd"/>
      <w:r>
        <w:t>(g)) ≤ ‖f − g‖</w:t>
      </w:r>
      <w:r>
        <w:rPr>
          <w:vertAlign w:val="subscript"/>
        </w:rPr>
        <w:t>∞</w:t>
      </w:r>
      <w:r>
        <w:t>. In practical terms, small perturbations of the input—measurement noise, imaging artifacts, slight variations in sample preparation—produce only bounded changes in the persistence diagram. This robustness is what distinguishes TDA from methods sensitive to coordinate perturbations, and it is central to why persistent homology is a viable feature extraction method for noisy geological data.</w:t>
      </w:r>
    </w:p>
    <w:p w14:paraId="5A68D1C8" w14:textId="77777777" w:rsidR="008F086F" w:rsidRDefault="00000000">
      <w:pPr>
        <w:pStyle w:val="Heading2"/>
      </w:pPr>
      <w:r>
        <w:t>1.6 From Persistence Diagrams to Machine Learning Features</w:t>
      </w:r>
    </w:p>
    <w:p w14:paraId="5A68D1C9" w14:textId="77777777" w:rsidR="008F086F" w:rsidRDefault="00000000">
      <w:pPr>
        <w:spacing w:after="200" w:line="276" w:lineRule="auto"/>
      </w:pPr>
      <w:r>
        <w:t xml:space="preserve">Persistence diagrams inhabit a metric space (under bottleneck or Wasserstein distances) that is not a Hilbert space, making direct use with many ML algorithms challenging. Several vectorization methods bridge this gap. </w:t>
      </w:r>
      <w:r>
        <w:rPr>
          <w:i/>
          <w:iCs/>
        </w:rPr>
        <w:t>Persistence landscapes</w:t>
      </w:r>
      <w:r>
        <w:t xml:space="preserve"> (Bubenik, 2015) map diagrams into a Banach space supporting statistical hypothesis testing. </w:t>
      </w:r>
      <w:r>
        <w:rPr>
          <w:i/>
          <w:iCs/>
        </w:rPr>
        <w:t>Persistence images</w:t>
      </w:r>
      <w:r>
        <w:t xml:space="preserve"> (Adams et al., 2017) apply weighted Gaussian kernels on the birth-persistence plane to produce fixed-dimensional vectors stable with respect to the 1-Wasserstein distance. </w:t>
      </w:r>
      <w:r>
        <w:rPr>
          <w:i/>
          <w:iCs/>
        </w:rPr>
        <w:t>Persistence entropy</w:t>
      </w:r>
      <w:r>
        <w:t xml:space="preserve"> (Atienza et al., 2020) compresses diagrams to a single scalar per homological dimension via Shannon entropy, providing an interpretable measure of topological complexity. These vectorizations enable TDA features to be combined with conventional statistical and deep </w:t>
      </w:r>
      <w:r>
        <w:lastRenderedPageBreak/>
        <w:t>learning features in hybrid classifiers, which is precisely the role PH plays in the Qualia Convergence Framework.</w:t>
      </w:r>
    </w:p>
    <w:p w14:paraId="5A68D1CA" w14:textId="77777777" w:rsidR="008F086F" w:rsidRDefault="00000000">
      <w:pPr>
        <w:pStyle w:val="Heading1"/>
      </w:pPr>
      <w:r>
        <w:t>2. Application to the Qualia Convergence Framework</w:t>
      </w:r>
    </w:p>
    <w:p w14:paraId="5A68D1CB" w14:textId="77777777" w:rsidR="008F086F" w:rsidRDefault="00000000">
      <w:pPr>
        <w:pStyle w:val="Heading2"/>
      </w:pPr>
      <w:r>
        <w:t>2.1 The Research Problem: What Is the Essence of a Geological Image?</w:t>
      </w:r>
    </w:p>
    <w:p w14:paraId="5A68D1CC" w14:textId="77777777" w:rsidR="008F086F" w:rsidRDefault="00000000">
      <w:pPr>
        <w:spacing w:after="200" w:line="276" w:lineRule="auto"/>
      </w:pPr>
      <w:r>
        <w:t xml:space="preserve">The Qualia Convergence Framework (QCF) addresses a fundamental challenge in subsurface reservoir characterization: given sparse observations (wells, partial seismic), how does a geoscientist retrieve </w:t>
      </w:r>
      <w:r>
        <w:rPr>
          <w:i/>
          <w:iCs/>
        </w:rPr>
        <w:t xml:space="preserve">depositional </w:t>
      </w:r>
      <w:proofErr w:type="gramStart"/>
      <w:r>
        <w:rPr>
          <w:i/>
          <w:iCs/>
        </w:rPr>
        <w:t>analogs</w:t>
      </w:r>
      <w:r>
        <w:t>—</w:t>
      </w:r>
      <w:proofErr w:type="gramEnd"/>
      <w:r>
        <w:t>reference geological models that share the essential structural properties of the target reservoir? The framework was motivated by a colleague’s critique that “patterns based on statistical coherence will never solve the essence problem”—that variogram-matching and facies-proportion-matching retrieve statistically similar images that may be structurally (topologically) dissimilar.</w:t>
      </w:r>
    </w:p>
    <w:p w14:paraId="5A68D1CD" w14:textId="77777777" w:rsidR="008F086F" w:rsidRDefault="00000000">
      <w:pPr>
        <w:spacing w:after="200" w:line="276" w:lineRule="auto"/>
      </w:pPr>
      <w:r>
        <w:t xml:space="preserve">The QCF operationalizes “essence” through a Vedantic epistemological lens. Drawing on the distinction between </w:t>
      </w:r>
      <w:proofErr w:type="spellStart"/>
      <w:r>
        <w:t>aparā</w:t>
      </w:r>
      <w:proofErr w:type="spellEnd"/>
      <w:r>
        <w:t xml:space="preserve"> </w:t>
      </w:r>
      <w:proofErr w:type="spellStart"/>
      <w:r>
        <w:t>vidyā</w:t>
      </w:r>
      <w:proofErr w:type="spellEnd"/>
      <w:r>
        <w:t xml:space="preserve"> (lower, empirical knowledge) and </w:t>
      </w:r>
      <w:proofErr w:type="spellStart"/>
      <w:r>
        <w:t>parā</w:t>
      </w:r>
      <w:proofErr w:type="spellEnd"/>
      <w:r>
        <w:t xml:space="preserve"> </w:t>
      </w:r>
      <w:proofErr w:type="spellStart"/>
      <w:r>
        <w:t>vidyā</w:t>
      </w:r>
      <w:proofErr w:type="spellEnd"/>
      <w:r>
        <w:t xml:space="preserve"> (higher, direct knowledge of invariant structure), the framework defines the essence of a geological image as </w:t>
      </w:r>
      <w:r>
        <w:rPr>
          <w:i/>
          <w:iCs/>
        </w:rPr>
        <w:t>invariant structure that remains stable under multiple independent representation pathways, observation modalities, and generative processes</w:t>
      </w:r>
      <w:r>
        <w:t xml:space="preserve">. This definition transforms a philosophical intuition into a testable scientific program: if multiple independent pathways extract the same structural characterization from an image, we have evidence of something “essential” rather than </w:t>
      </w:r>
      <w:proofErr w:type="gramStart"/>
      <w:r>
        <w:t>pathway-specific</w:t>
      </w:r>
      <w:proofErr w:type="gramEnd"/>
      <w:r>
        <w:t>.</w:t>
      </w:r>
    </w:p>
    <w:p w14:paraId="5A68D1CE" w14:textId="77777777" w:rsidR="008F086F" w:rsidRDefault="00000000">
      <w:pPr>
        <w:pStyle w:val="Heading2"/>
      </w:pPr>
      <w:r>
        <w:t>2.2 Three-Pathway Architecture and the Role of TDA</w:t>
      </w:r>
    </w:p>
    <w:p w14:paraId="5A68D1CF" w14:textId="77777777" w:rsidR="008F086F" w:rsidRDefault="00000000">
      <w:pPr>
        <w:spacing w:after="200" w:line="276" w:lineRule="auto"/>
      </w:pPr>
      <w:r>
        <w:t xml:space="preserve">The QCF employs three independent feature-extraction pathways, each representing a distinct epistemological perspective (termed </w:t>
      </w:r>
      <w:proofErr w:type="spellStart"/>
      <w:r>
        <w:rPr>
          <w:i/>
          <w:iCs/>
        </w:rPr>
        <w:t>darśanas</w:t>
      </w:r>
      <w:proofErr w:type="spellEnd"/>
      <w:r>
        <w:t xml:space="preserve">). The </w:t>
      </w:r>
      <w:r>
        <w:rPr>
          <w:b/>
          <w:bCs/>
        </w:rPr>
        <w:t>Classical Pathway</w:t>
      </w:r>
      <w:r>
        <w:t xml:space="preserve"> computes traditional geostatistical descriptors—variograms, fractal dimensions, connectivity functions—yielding approximately 50 dimensions of features that encode spatial correlation structure. The </w:t>
      </w:r>
      <w:r>
        <w:rPr>
          <w:b/>
          <w:bCs/>
        </w:rPr>
        <w:t>Learned Pathway</w:t>
      </w:r>
      <w:r>
        <w:t xml:space="preserve"> uses DINOv2-ViT-B/14, a self-supervised vision transformer, with </w:t>
      </w:r>
      <w:proofErr w:type="spellStart"/>
      <w:r>
        <w:t>LoRA</w:t>
      </w:r>
      <w:proofErr w:type="spellEnd"/>
      <w:r>
        <w:t xml:space="preserve"> fine-tuning on geological imagery to extract 768-dimensional feature vectors capturing high-level visual semantics. The </w:t>
      </w:r>
      <w:r>
        <w:rPr>
          <w:b/>
          <w:bCs/>
        </w:rPr>
        <w:t>Topological Pathway</w:t>
      </w:r>
      <w:r>
        <w:t>—the focus of this paper—computes persistent homology in dimensions H</w:t>
      </w:r>
      <w:r>
        <w:rPr>
          <w:vertAlign w:val="subscript"/>
        </w:rPr>
        <w:t>0</w:t>
      </w:r>
      <w:r>
        <w:t xml:space="preserve"> and H</w:t>
      </w:r>
      <w:r>
        <w:rPr>
          <w:vertAlign w:val="subscript"/>
        </w:rPr>
        <w:t>1</w:t>
      </w:r>
      <w:r>
        <w:t xml:space="preserve"> via Giotto-TDA (Tauzin et al., 2021), producing approximately 20–50 dimensions of topological features.</w:t>
      </w:r>
    </w:p>
    <w:p w14:paraId="5A68D1D0" w14:textId="77777777" w:rsidR="008F086F" w:rsidRDefault="00000000">
      <w:pPr>
        <w:spacing w:after="200" w:line="276" w:lineRule="auto"/>
      </w:pPr>
      <w:r>
        <w:t xml:space="preserve">The three pathways are fused through a convergence regularization loss </w:t>
      </w:r>
      <w:proofErr w:type="spellStart"/>
      <w:r>
        <w:t>L</w:t>
      </w:r>
      <w:r>
        <w:rPr>
          <w:vertAlign w:val="subscript"/>
        </w:rPr>
        <w:t>conv</w:t>
      </w:r>
      <w:proofErr w:type="spellEnd"/>
      <w:r>
        <w:t xml:space="preserve"> = Σ ‖f</w:t>
      </w:r>
      <w:r>
        <w:rPr>
          <w:vertAlign w:val="subscript"/>
        </w:rPr>
        <w:t>i</w:t>
      </w:r>
      <w:r>
        <w:t>(x) − f</w:t>
      </w:r>
      <w:r>
        <w:rPr>
          <w:vertAlign w:val="subscript"/>
        </w:rPr>
        <w:t>j</w:t>
      </w:r>
      <w:r>
        <w:t>(x)‖² that enforces agreement between pathway representations, and the fused vector is projected into a hyperbolic embedding space (</w:t>
      </w:r>
      <w:proofErr w:type="spellStart"/>
      <w:r>
        <w:t>Poincaré</w:t>
      </w:r>
      <w:proofErr w:type="spellEnd"/>
      <w:r>
        <w:t xml:space="preserve"> ball model) where the hierarchical organization of depositional environments is naturally encoded—general categories (e.g., “fluvial”) near the origin, specific sub-types (e.g., “high-sinuosity meandering with oxbow cutoffs”) near the boundary. The convergence regularization is analogous to the boundary operator’s coherence </w:t>
      </w:r>
      <w:r>
        <w:lastRenderedPageBreak/>
        <w:t>property δ</w:t>
      </w:r>
      <w:r>
        <w:rPr>
          <w:vertAlign w:val="subscript"/>
        </w:rPr>
        <w:t>k−1</w:t>
      </w:r>
      <w:r>
        <w:t xml:space="preserve"> ∘ </w:t>
      </w:r>
      <w:proofErr w:type="spellStart"/>
      <w:r>
        <w:t>δ</w:t>
      </w:r>
      <w:r>
        <w:rPr>
          <w:vertAlign w:val="subscript"/>
        </w:rPr>
        <w:t>k</w:t>
      </w:r>
      <w:proofErr w:type="spellEnd"/>
      <w:r>
        <w:t xml:space="preserve"> = 0: information extracted at one “dimension” of analysis must be compatible with information at adjacent dimensions.</w:t>
      </w:r>
    </w:p>
    <w:p w14:paraId="5A68D1D1" w14:textId="77777777" w:rsidR="008F086F" w:rsidRDefault="00000000">
      <w:pPr>
        <w:pStyle w:val="Heading2"/>
      </w:pPr>
      <w:r>
        <w:t>2.3 The H₁ Hypothesis: Loops Discriminate Channel Architectures</w:t>
      </w:r>
    </w:p>
    <w:p w14:paraId="5A68D1D2" w14:textId="77777777" w:rsidR="008F086F" w:rsidRDefault="00000000">
      <w:pPr>
        <w:spacing w:after="200" w:line="276" w:lineRule="auto"/>
      </w:pPr>
      <w:r>
        <w:t xml:space="preserve">The central testable hypothesis of the topological pathway is that </w:t>
      </w:r>
      <w:r>
        <w:rPr>
          <w:b/>
          <w:bCs/>
        </w:rPr>
        <w:t>first-dimensional persistent homology (H</w:t>
      </w:r>
      <w:r>
        <w:rPr>
          <w:b/>
          <w:bCs/>
          <w:vertAlign w:val="subscript"/>
        </w:rPr>
        <w:t>1</w:t>
      </w:r>
      <w:r>
        <w:rPr>
          <w:b/>
          <w:bCs/>
        </w:rPr>
        <w:t>) discriminates braided from meandering channel architectures even when variogram parameters (range, sill, nugget) are matched</w:t>
      </w:r>
      <w:r>
        <w:t xml:space="preserve">. The physical reasoning is as follows. Braided river systems are characterized by multiple interconnected channels that split and rejoin around bars, creating a network of closed loops in planform view. Meandering systems have a single sinuous channel with occasional oxbow cutoffs. At the topological level, a braided system should exhibit </w:t>
      </w:r>
      <w:r>
        <w:rPr>
          <w:i/>
          <w:iCs/>
        </w:rPr>
        <w:t>many</w:t>
      </w:r>
      <w:r>
        <w:t xml:space="preserve"> persistent H</w:t>
      </w:r>
      <w:r>
        <w:rPr>
          <w:vertAlign w:val="subscript"/>
        </w:rPr>
        <w:t>1</w:t>
      </w:r>
      <w:r>
        <w:t xml:space="preserve"> features (loops that persist over a wide range of filtration scales), while a meandering system should exhibit </w:t>
      </w:r>
      <w:r>
        <w:rPr>
          <w:i/>
          <w:iCs/>
        </w:rPr>
        <w:t>few</w:t>
      </w:r>
      <w:r>
        <w:t xml:space="preserve"> (primarily at scales corresponding to oxbow-lake formation). Critically, two-point </w:t>
      </w:r>
      <w:proofErr w:type="spellStart"/>
      <w:r>
        <w:t>geostatistics</w:t>
      </w:r>
      <w:proofErr w:type="spellEnd"/>
      <w:r>
        <w:t xml:space="preserve"> (variograms) cannot distinguish these configurations when the spatial correlation lengths are similar; they measure correlation structure but are blind to connectivity topology.</w:t>
      </w:r>
    </w:p>
    <w:p w14:paraId="5A68D1D3" w14:textId="77777777" w:rsidR="008F086F" w:rsidRDefault="00000000">
      <w:pPr>
        <w:spacing w:after="200" w:line="276" w:lineRule="auto"/>
      </w:pPr>
      <w:r>
        <w:t>The framework establishes a pre-committed decision point (Decision Point 2.1 in the Architecture Decisions document): if classification accuracy using only H</w:t>
      </w:r>
      <w:r>
        <w:rPr>
          <w:vertAlign w:val="subscript"/>
        </w:rPr>
        <w:t>1</w:t>
      </w:r>
      <w:r>
        <w:t xml:space="preserve"> features exceeds 70%, the hypothesis is supported and TDA becomes a core pathway; if it falls below 60%, TDA remains an ablation study. This pre-commitment follows the </w:t>
      </w:r>
      <w:proofErr w:type="spellStart"/>
      <w:r>
        <w:t>Sākṣī</w:t>
      </w:r>
      <w:proofErr w:type="spellEnd"/>
      <w:r>
        <w:t xml:space="preserve"> (witness) validation philosophy: claims about essence are validated by independent witnesses with interpretation thresholds fixed before data analysis.</w:t>
      </w:r>
    </w:p>
    <w:p w14:paraId="5A68D1D4" w14:textId="77777777" w:rsidR="008F086F" w:rsidRDefault="00000000">
      <w:pPr>
        <w:pStyle w:val="Heading2"/>
      </w:pPr>
      <w:r>
        <w:t>2.4 Cubical Complexes for Geological Image Data</w:t>
      </w:r>
    </w:p>
    <w:p w14:paraId="5A68D1D5" w14:textId="77777777" w:rsidR="008F086F" w:rsidRDefault="00000000">
      <w:pPr>
        <w:spacing w:after="200" w:line="276" w:lineRule="auto"/>
      </w:pPr>
      <w:r>
        <w:t xml:space="preserve">While the </w:t>
      </w:r>
      <w:proofErr w:type="spellStart"/>
      <w:r>
        <w:t>Kemmea</w:t>
      </w:r>
      <w:proofErr w:type="spellEnd"/>
      <w:r>
        <w:t xml:space="preserve"> and </w:t>
      </w:r>
      <w:proofErr w:type="spellStart"/>
      <w:r>
        <w:t>Agyingi</w:t>
      </w:r>
      <w:proofErr w:type="spellEnd"/>
      <w:r>
        <w:t xml:space="preserve"> (2025) tutorial constructs Vietoris–Rips complexes from point clouds, the QCF works with 2D geological images (training images, simulation outputs, thin-section photographs) where each pixel has a property value (facies code, porosity, grayscale intensity). For such gridded data, </w:t>
      </w:r>
      <w:r>
        <w:rPr>
          <w:i/>
          <w:iCs/>
        </w:rPr>
        <w:t>cubical complexes</w:t>
      </w:r>
      <w:r>
        <w:t xml:space="preserve"> are the natural and computationally efficient choice (Kaczynski, </w:t>
      </w:r>
      <w:proofErr w:type="spellStart"/>
      <w:r>
        <w:t>Mischaikow</w:t>
      </w:r>
      <w:proofErr w:type="spellEnd"/>
      <w:r>
        <w:t xml:space="preserve">, &amp; Mrozek, 2004; Wagner, Chen, &amp; </w:t>
      </w:r>
      <w:proofErr w:type="spellStart"/>
      <w:r>
        <w:t>Vuçini</w:t>
      </w:r>
      <w:proofErr w:type="spellEnd"/>
      <w:r>
        <w:t>, 2012). Instead of constructing simplices from point-pairs, the cubical approach treats each pixel as an elementary square (2-cube) and builds the filtration by thresholding on pixel values—for binary facies images, this reduces to a sublevel-set filtration on the signed Euclidean distance transform (SEDT), following the methodology established by Robins et al. (2016) for geological pore-space characterization.</w:t>
      </w:r>
    </w:p>
    <w:p w14:paraId="5A68D1D6" w14:textId="77777777" w:rsidR="008F086F" w:rsidRDefault="00000000">
      <w:pPr>
        <w:spacing w:after="200" w:line="276" w:lineRule="auto"/>
      </w:pPr>
      <w:r>
        <w:t xml:space="preserve">The SEDT assigns to each pixel a signed distance to the nearest boundary between facies: positive inside channel bodies, negative inside floodplain. Filtering by increasing SEDT values progressively “erodes” narrow connections, revealing which topological features (connected components, loops) are robust at the core of </w:t>
      </w:r>
      <w:proofErr w:type="spellStart"/>
      <w:r>
        <w:t>geobodies</w:t>
      </w:r>
      <w:proofErr w:type="spellEnd"/>
      <w:r>
        <w:t xml:space="preserve"> versus those that depend on thin, possibly artifactual connections. The software implementation uses either GUDHI’s native cubical </w:t>
      </w:r>
      <w:r>
        <w:lastRenderedPageBreak/>
        <w:t xml:space="preserve">complex module (Maria et al., 2014) or </w:t>
      </w:r>
      <w:proofErr w:type="spellStart"/>
      <w:r>
        <w:t>CubicalRipser</w:t>
      </w:r>
      <w:proofErr w:type="spellEnd"/>
      <w:r>
        <w:t xml:space="preserve"> (Kaji, Sudo, &amp; Ahara, 2020), both integrated into the Giotto-TDA pipeline for downstream ML compatibility.</w:t>
      </w:r>
    </w:p>
    <w:p w14:paraId="5A68D1D7" w14:textId="77777777" w:rsidR="008F086F" w:rsidRDefault="00000000">
      <w:pPr>
        <w:pStyle w:val="Heading2"/>
      </w:pPr>
      <w:r>
        <w:t>2.5 Persistence Diagrams and the Hyperbolic Embedding Connection</w:t>
      </w:r>
    </w:p>
    <w:p w14:paraId="5A68D1D8" w14:textId="77777777" w:rsidR="008F086F" w:rsidRDefault="00000000">
      <w:pPr>
        <w:spacing w:after="200" w:line="276" w:lineRule="auto"/>
      </w:pPr>
      <w:r>
        <w:t xml:space="preserve">The persistence diagrams produced by the topological pathway encode hierarchy in a manner that aligns naturally with the QCF’s hyperbolic embedding space. In a persistence diagram, the distance of a point from the diagonal (its persistence, d = death − birth) reflects the feature’s structural importance: long-lived bars correspond to essential, large-scale topological features, while short-lived bars correspond to fine-scale detail or noise. This is a </w:t>
      </w:r>
      <w:r>
        <w:rPr>
          <w:i/>
          <w:iCs/>
        </w:rPr>
        <w:t>topological hierarchy</w:t>
      </w:r>
      <w:r>
        <w:t>: from essential structure to accidental detail.</w:t>
      </w:r>
    </w:p>
    <w:p w14:paraId="5A68D1D9" w14:textId="77777777" w:rsidR="008F086F" w:rsidRDefault="00000000">
      <w:pPr>
        <w:spacing w:after="200" w:line="276" w:lineRule="auto"/>
      </w:pPr>
      <w:r>
        <w:t xml:space="preserve">The </w:t>
      </w:r>
      <w:proofErr w:type="spellStart"/>
      <w:r>
        <w:t>Poincaré</w:t>
      </w:r>
      <w:proofErr w:type="spellEnd"/>
      <w:r>
        <w:t xml:space="preserve"> ball model used by the QCF encodes a </w:t>
      </w:r>
      <w:r>
        <w:rPr>
          <w:i/>
          <w:iCs/>
        </w:rPr>
        <w:t>depositional hierarchy</w:t>
      </w:r>
      <w:r>
        <w:t>: general environment types near the origin, specific sub-types near the boundary. There is a natural map between these two hierarchies. An image whose H</w:t>
      </w:r>
      <w:r>
        <w:rPr>
          <w:vertAlign w:val="subscript"/>
        </w:rPr>
        <w:t>1</w:t>
      </w:r>
      <w:r>
        <w:t xml:space="preserve"> persistence diagram is dominated by many long-lived loops is “more braided” and should sit closer to the hyperbolic boundary near the braided-river prototype. An image with few H</w:t>
      </w:r>
      <w:r>
        <w:rPr>
          <w:vertAlign w:val="subscript"/>
        </w:rPr>
        <w:t>1</w:t>
      </w:r>
      <w:r>
        <w:t xml:space="preserve"> features but a characteristic distribution of H</w:t>
      </w:r>
      <w:r>
        <w:rPr>
          <w:vertAlign w:val="subscript"/>
        </w:rPr>
        <w:t>0</w:t>
      </w:r>
      <w:r>
        <w:t xml:space="preserve"> lifetimes (reflecting channel-body isolation) is “more meandering” and sits near the meandering prototype. The longest-lived H</w:t>
      </w:r>
      <w:r>
        <w:rPr>
          <w:vertAlign w:val="subscript"/>
        </w:rPr>
        <w:t>1</w:t>
      </w:r>
      <w:r>
        <w:t xml:space="preserve"> feature effectively indicates position along the </w:t>
      </w:r>
      <w:proofErr w:type="gramStart"/>
      <w:r>
        <w:t>specificity</w:t>
      </w:r>
      <w:proofErr w:type="gramEnd"/>
      <w:r>
        <w:t xml:space="preserve"> axis of the embedding space. This geometric interpretation of persistence diagrams feeding directly into hierarchy-aware embedding is, to our knowledge, a novel contribution of the QCF.</w:t>
      </w:r>
    </w:p>
    <w:p w14:paraId="5A68D1DA" w14:textId="77777777" w:rsidR="008F086F" w:rsidRDefault="00000000">
      <w:pPr>
        <w:pStyle w:val="Heading2"/>
      </w:pPr>
      <w:r>
        <w:t>2.6 LOGO Validation and Topological Stability</w:t>
      </w:r>
    </w:p>
    <w:p w14:paraId="5A68D1DB" w14:textId="77777777" w:rsidR="008F086F" w:rsidRDefault="00000000">
      <w:pPr>
        <w:spacing w:after="200" w:line="276" w:lineRule="auto"/>
      </w:pPr>
      <w:r>
        <w:t xml:space="preserve">The QCF validates its “essence” claims through the Leave-One-Generator-Out (LOGO) protocol: the system is trained on images from all but one geological image generator (e.g., </w:t>
      </w:r>
      <w:proofErr w:type="spellStart"/>
      <w:r>
        <w:t>Flumy</w:t>
      </w:r>
      <w:proofErr w:type="spellEnd"/>
      <w:r>
        <w:t xml:space="preserve"> for process-based, SNESIM for multi-point statistics, principle-based generators for rule-based simulation</w:t>
      </w:r>
      <w:proofErr w:type="gramStart"/>
      <w:r>
        <w:t>), and</w:t>
      </w:r>
      <w:proofErr w:type="gramEnd"/>
      <w:r>
        <w:t xml:space="preserve"> tested on the held-out generator. If retrieval performance degrades by less than 20% for all held-out generators, the features are deemed </w:t>
      </w:r>
      <w:r>
        <w:rPr>
          <w:i/>
          <w:iCs/>
        </w:rPr>
        <w:t>generator-invariant</w:t>
      </w:r>
      <w:r>
        <w:t>—capturing properties of the depositional environment itself rather than artifacts of the simulation method.</w:t>
      </w:r>
    </w:p>
    <w:p w14:paraId="5A68D1DC" w14:textId="77777777" w:rsidR="008F086F" w:rsidRDefault="00000000">
      <w:pPr>
        <w:spacing w:after="200" w:line="276" w:lineRule="auto"/>
      </w:pPr>
      <w:r>
        <w:t xml:space="preserve">The stability theorem provides a strong theoretical prediction for this test: because persistent homology is provably stable under perturbations of the input function, topological features should transfer between generators </w:t>
      </w:r>
      <w:r>
        <w:rPr>
          <w:i/>
          <w:iCs/>
        </w:rPr>
        <w:t>better</w:t>
      </w:r>
      <w:r>
        <w:t xml:space="preserve"> than learned features (which may </w:t>
      </w:r>
      <w:proofErr w:type="gramStart"/>
      <w:r>
        <w:t>overfit to</w:t>
      </w:r>
      <w:proofErr w:type="gramEnd"/>
      <w:r>
        <w:t xml:space="preserve"> generator-specific texture patterns) or classical features (which depend on specific correlation-function shapes). We therefore predict that </w:t>
      </w:r>
      <w:r>
        <w:rPr>
          <w:b/>
          <w:bCs/>
        </w:rPr>
        <w:t>per-pathway LOGO degradation will be lowest for the topological pathway</w:t>
      </w:r>
      <w:r>
        <w:t>. This is a testable, pre-committed prediction. If confirmed, it provides powerful evidence that TDA captures genuinely generator-invariant structure—the closest empirical approximation to “essence”—and supports the multi-pathway architecture’s theoretical rationale (Architecture Decision ADR-001).</w:t>
      </w:r>
    </w:p>
    <w:p w14:paraId="5A68D1DD" w14:textId="77777777" w:rsidR="008F086F" w:rsidRDefault="00000000">
      <w:pPr>
        <w:pStyle w:val="Heading2"/>
      </w:pPr>
      <w:r>
        <w:t>2.7 Implementation Plan</w:t>
      </w:r>
    </w:p>
    <w:p w14:paraId="5A68D1DE" w14:textId="77777777" w:rsidR="008F086F" w:rsidRDefault="00000000">
      <w:pPr>
        <w:spacing w:after="200" w:line="276" w:lineRule="auto"/>
      </w:pPr>
      <w:r>
        <w:lastRenderedPageBreak/>
        <w:t xml:space="preserve">The topological pathway implementation proceeds in phases aligned with </w:t>
      </w:r>
      <w:proofErr w:type="gramStart"/>
      <w:r>
        <w:t>the QCF’s</w:t>
      </w:r>
      <w:proofErr w:type="gramEnd"/>
      <w:r>
        <w:t xml:space="preserve"> overall development plan. In </w:t>
      </w:r>
      <w:r>
        <w:rPr>
          <w:b/>
          <w:bCs/>
        </w:rPr>
        <w:t>Phase 1</w:t>
      </w:r>
      <w:r>
        <w:t xml:space="preserve">, principle-based generators (Leopold-Wolman framework for fluvial, Werner dune model for aeolian, tidal prism framework for estuarine) produce binary facies images with known ground truth. The SEDT is computed for each image, and cubical persistent homology is computed via Giotto-TDA’s </w:t>
      </w:r>
      <w:proofErr w:type="spellStart"/>
      <w:r>
        <w:t>CubicalPersistence</w:t>
      </w:r>
      <w:proofErr w:type="spellEnd"/>
      <w:r>
        <w:t xml:space="preserve"> module in H</w:t>
      </w:r>
      <w:r>
        <w:rPr>
          <w:vertAlign w:val="subscript"/>
        </w:rPr>
        <w:t>0</w:t>
      </w:r>
      <w:r>
        <w:t xml:space="preserve"> and H</w:t>
      </w:r>
      <w:r>
        <w:rPr>
          <w:vertAlign w:val="subscript"/>
        </w:rPr>
        <w:t>1</w:t>
      </w:r>
      <w:r>
        <w:t>. Persistence diagrams are vectorized into persistence images (Adams et al., 2017) producing fixed-dimensional feature vectors (approximately 20–50 dimensions depending on resolution). A preliminary classification test using only topological features evaluates the H</w:t>
      </w:r>
      <w:r>
        <w:rPr>
          <w:vertAlign w:val="subscript"/>
        </w:rPr>
        <w:t>1</w:t>
      </w:r>
      <w:r>
        <w:t xml:space="preserve"> hypothesis (Decision Point 2.1).</w:t>
      </w:r>
    </w:p>
    <w:p w14:paraId="5A68D1DF" w14:textId="77777777" w:rsidR="008F086F" w:rsidRDefault="00000000">
      <w:pPr>
        <w:spacing w:after="200" w:line="276" w:lineRule="auto"/>
      </w:pPr>
      <w:r>
        <w:t xml:space="preserve">In </w:t>
      </w:r>
      <w:r>
        <w:rPr>
          <w:b/>
          <w:bCs/>
        </w:rPr>
        <w:t>Phase 2</w:t>
      </w:r>
      <w:r>
        <w:t xml:space="preserve">, topological features are integrated with the classical and learned pathways. The convergence regularization loss enforces cross-pathway agreement, and the combined features are projected into the </w:t>
      </w:r>
      <w:proofErr w:type="spellStart"/>
      <w:r>
        <w:t>Poincaré</w:t>
      </w:r>
      <w:proofErr w:type="spellEnd"/>
      <w:r>
        <w:t xml:space="preserve"> ball via exponential maps. A key diagnostic at this phase is correlating persistence diagram statistics—total H</w:t>
      </w:r>
      <w:r>
        <w:rPr>
          <w:vertAlign w:val="subscript"/>
        </w:rPr>
        <w:t>1</w:t>
      </w:r>
      <w:r>
        <w:t xml:space="preserve"> persistence, number of long-lived H</w:t>
      </w:r>
      <w:r>
        <w:rPr>
          <w:vertAlign w:val="subscript"/>
        </w:rPr>
        <w:t>1</w:t>
      </w:r>
      <w:r>
        <w:t xml:space="preserve"> features, the ratio of H</w:t>
      </w:r>
      <w:r>
        <w:rPr>
          <w:vertAlign w:val="subscript"/>
        </w:rPr>
        <w:t>1</w:t>
      </w:r>
      <w:r>
        <w:t xml:space="preserve"> to H</w:t>
      </w:r>
      <w:r>
        <w:rPr>
          <w:vertAlign w:val="subscript"/>
        </w:rPr>
        <w:t>0</w:t>
      </w:r>
      <w:r>
        <w:t xml:space="preserve"> total persistence—with generator parameters (thread count for braided systems, sinuosity for meandering systems, bar spacing). If Pearson’s r &gt; 0.5 between these topological statistics and the generative parameters, this validates the connection between topological features and the physical processes that produced the geological pattern.</w:t>
      </w:r>
    </w:p>
    <w:p w14:paraId="5A68D1E0" w14:textId="77777777" w:rsidR="008F086F" w:rsidRDefault="00000000">
      <w:pPr>
        <w:spacing w:after="200" w:line="276" w:lineRule="auto"/>
      </w:pPr>
      <w:r>
        <w:t xml:space="preserve">In </w:t>
      </w:r>
      <w:r>
        <w:rPr>
          <w:b/>
          <w:bCs/>
        </w:rPr>
        <w:t>Phases 3–4</w:t>
      </w:r>
      <w:r>
        <w:t xml:space="preserve">, the LOGO protocol evaluates per-pathway degradation. If the topological pathway degrades less than the classical or learned pathways under generator shift, this provides empirical evidence grounded in the stability theorem that persistent homology captures generator-invariant structure. Full </w:t>
      </w:r>
      <w:proofErr w:type="spellStart"/>
      <w:r>
        <w:t>Sākṣī</w:t>
      </w:r>
      <w:proofErr w:type="spellEnd"/>
      <w:r>
        <w:t xml:space="preserve"> validation applies the complete suite of ten independent witnesses: cluster purity (ARI &gt; 0.7), retrieval precision (P@10 &gt; 0.8), LOGO (&lt; 20% degradation), transfer prediction (R² &gt; 0.5), expert validation (Cohen’s κ &gt; 0.6), pathway convergence (disagreement &lt; 0.2), adversarial robustness, calibration, mixture handling, and process correlation.</w:t>
      </w:r>
    </w:p>
    <w:p w14:paraId="5A68D1E1" w14:textId="77777777" w:rsidR="008F086F" w:rsidRDefault="00000000">
      <w:pPr>
        <w:pStyle w:val="Heading1"/>
      </w:pPr>
      <w:r>
        <w:t>3. Conclusion</w:t>
      </w:r>
    </w:p>
    <w:p w14:paraId="5A68D1E2" w14:textId="77777777" w:rsidR="008F086F" w:rsidRDefault="00000000">
      <w:pPr>
        <w:spacing w:after="200" w:line="276" w:lineRule="auto"/>
      </w:pPr>
      <w:r>
        <w:t>Persistent homology provides both the mathematical rigor and the practical computational tools needed to operationalize the concept of topological “essence” in geological image analysis. The stability theorem guarantees robustness to the noise inherent in geological data. The cubical complex construction provides a natural, efficient filtration for gridded image data. The H</w:t>
      </w:r>
      <w:r>
        <w:rPr>
          <w:vertAlign w:val="subscript"/>
        </w:rPr>
        <w:t>1</w:t>
      </w:r>
      <w:r>
        <w:t xml:space="preserve"> hypothesis offers a specific, falsifiable prediction about the discriminative power of topological features for channel architecture classification. And the LOGO protocol, combined with the per-pathway degradation analysis, provides an empirical framework for testing whether topological features are genuinely generator-invariant. Within the Qualia Convergence Framework, persistent homology is not merely an auxiliary feature extractor—it is the </w:t>
      </w:r>
      <w:r>
        <w:rPr>
          <w:i/>
          <w:iCs/>
        </w:rPr>
        <w:t>only</w:t>
      </w:r>
      <w:r>
        <w:t xml:space="preserve"> pathway with provable stability guarantees, making it the mathematical backbone of the framework’s claim to capture the essence of geological spatial patterns.</w:t>
      </w:r>
    </w:p>
    <w:p w14:paraId="5A68D1E3" w14:textId="77777777" w:rsidR="008F086F" w:rsidRDefault="008F086F"/>
    <w:p w14:paraId="5A68D1E4" w14:textId="77777777" w:rsidR="008F086F" w:rsidRDefault="008F086F">
      <w:pPr>
        <w:pBdr>
          <w:top w:val="single" w:sz="1" w:space="1" w:color="000000"/>
        </w:pBdr>
      </w:pPr>
    </w:p>
    <w:p w14:paraId="5A68D1E5" w14:textId="77777777" w:rsidR="008F086F" w:rsidRDefault="00000000">
      <w:pPr>
        <w:pStyle w:val="Heading1"/>
      </w:pPr>
      <w:r>
        <w:t>References</w:t>
      </w:r>
    </w:p>
    <w:p w14:paraId="5A68D1E6" w14:textId="77777777" w:rsidR="008F086F" w:rsidRDefault="00000000">
      <w:pPr>
        <w:spacing w:after="120" w:line="276" w:lineRule="auto"/>
        <w:ind w:left="720" w:hanging="720"/>
      </w:pPr>
      <w:r>
        <w:t>Adams, H., Emerson, T., Kirby, M., Neville, R., Peterson, C., Shipman, P., ... &amp; Ziegelmeier, L. (2017). Persistence images: A stable vector representation of persistent homology. Journal of Machine Learning Research, 18(8), 1–35.</w:t>
      </w:r>
    </w:p>
    <w:p w14:paraId="5A68D1E7" w14:textId="77777777" w:rsidR="008F086F" w:rsidRDefault="00000000">
      <w:pPr>
        <w:spacing w:after="120" w:line="276" w:lineRule="auto"/>
        <w:ind w:left="720" w:hanging="720"/>
      </w:pPr>
      <w:r>
        <w:t>Atienza, N., González-Díaz, R., &amp; Soriano-Trigueros, M. (2020). On the stability of persistent entropy and new summary functions for topological data analysis. Pattern Recognition, 107, 107509.</w:t>
      </w:r>
    </w:p>
    <w:p w14:paraId="5A68D1E8" w14:textId="77777777" w:rsidR="008F086F" w:rsidRDefault="00000000">
      <w:pPr>
        <w:spacing w:after="120" w:line="276" w:lineRule="auto"/>
        <w:ind w:left="720" w:hanging="720"/>
      </w:pPr>
      <w:r>
        <w:t>Bubenik, P. (2015). Statistical topological data analysis using persistence landscapes. Journal of Machine Learning Research, 16(3), 77–102.</w:t>
      </w:r>
    </w:p>
    <w:p w14:paraId="5A68D1E9" w14:textId="77777777" w:rsidR="008F086F" w:rsidRDefault="00000000">
      <w:pPr>
        <w:spacing w:after="120" w:line="276" w:lineRule="auto"/>
        <w:ind w:left="720" w:hanging="720"/>
      </w:pPr>
      <w:r>
        <w:t>Carlsson, G. (2009). Topology and data. Bulletin of the American Mathematical Society, 46(2), 255–308.</w:t>
      </w:r>
    </w:p>
    <w:p w14:paraId="5A68D1EA" w14:textId="77777777" w:rsidR="008F086F" w:rsidRDefault="00000000">
      <w:pPr>
        <w:spacing w:after="120" w:line="276" w:lineRule="auto"/>
        <w:ind w:left="720" w:hanging="720"/>
      </w:pPr>
      <w:r>
        <w:t xml:space="preserve">Chazal, F., de Silva, V., Glisse, M., &amp; </w:t>
      </w:r>
      <w:proofErr w:type="spellStart"/>
      <w:r>
        <w:t>Oudot</w:t>
      </w:r>
      <w:proofErr w:type="spellEnd"/>
      <w:r>
        <w:t xml:space="preserve">, S. (2016). The structure and stability of persistence modules. </w:t>
      </w:r>
      <w:proofErr w:type="spellStart"/>
      <w:r>
        <w:t>SpringerBriefs</w:t>
      </w:r>
      <w:proofErr w:type="spellEnd"/>
      <w:r>
        <w:t xml:space="preserve"> in Mathematics, Springer.</w:t>
      </w:r>
    </w:p>
    <w:p w14:paraId="5A68D1EB" w14:textId="77777777" w:rsidR="008F086F" w:rsidRDefault="00000000">
      <w:pPr>
        <w:spacing w:after="120" w:line="276" w:lineRule="auto"/>
        <w:ind w:left="720" w:hanging="720"/>
      </w:pPr>
      <w:r>
        <w:t xml:space="preserve">Cohen-Steiner, D., </w:t>
      </w:r>
      <w:proofErr w:type="spellStart"/>
      <w:r>
        <w:t>Edelsbrunner</w:t>
      </w:r>
      <w:proofErr w:type="spellEnd"/>
      <w:r>
        <w:t>, H., &amp; Harer, J. (2007). Stability of persistence diagrams. Discrete &amp; Computational Geometry, 37(1), 103–120.</w:t>
      </w:r>
    </w:p>
    <w:p w14:paraId="5A68D1EC" w14:textId="77777777" w:rsidR="008F086F" w:rsidRDefault="00000000">
      <w:pPr>
        <w:spacing w:after="120" w:line="276" w:lineRule="auto"/>
        <w:ind w:left="720" w:hanging="720"/>
      </w:pPr>
      <w:proofErr w:type="spellStart"/>
      <w:r>
        <w:t>Edelsbrunner</w:t>
      </w:r>
      <w:proofErr w:type="spellEnd"/>
      <w:r>
        <w:t>, H., &amp; Harer, J. (2010). Computational topology: An introduction. American Mathematical Society.</w:t>
      </w:r>
    </w:p>
    <w:p w14:paraId="5A68D1ED" w14:textId="77777777" w:rsidR="008F086F" w:rsidRDefault="00000000">
      <w:pPr>
        <w:spacing w:after="120" w:line="276" w:lineRule="auto"/>
        <w:ind w:left="720" w:hanging="720"/>
      </w:pPr>
      <w:proofErr w:type="spellStart"/>
      <w:r>
        <w:t>Edelsbrunner</w:t>
      </w:r>
      <w:proofErr w:type="spellEnd"/>
      <w:r>
        <w:t xml:space="preserve">, H., Letscher, D., &amp; </w:t>
      </w:r>
      <w:proofErr w:type="spellStart"/>
      <w:r>
        <w:t>Zomorodian</w:t>
      </w:r>
      <w:proofErr w:type="spellEnd"/>
      <w:r>
        <w:t>, A. (2002). Topological persistence and simplification. Discrete &amp; Computational Geometry, 28(4), 511–533.</w:t>
      </w:r>
    </w:p>
    <w:p w14:paraId="5A68D1EE" w14:textId="77777777" w:rsidR="008F086F" w:rsidRDefault="00000000">
      <w:pPr>
        <w:spacing w:after="120" w:line="276" w:lineRule="auto"/>
        <w:ind w:left="720" w:hanging="720"/>
      </w:pPr>
      <w:r>
        <w:t xml:space="preserve">Kaczynski, T., </w:t>
      </w:r>
      <w:proofErr w:type="spellStart"/>
      <w:r>
        <w:t>Mischaikow</w:t>
      </w:r>
      <w:proofErr w:type="spellEnd"/>
      <w:r>
        <w:t>, K., &amp; Mrozek, M. (2004). Computational homology. Applied Mathematical Sciences, Vol. 157, Springer.</w:t>
      </w:r>
    </w:p>
    <w:p w14:paraId="5A68D1EF" w14:textId="77777777" w:rsidR="008F086F" w:rsidRDefault="00000000">
      <w:pPr>
        <w:spacing w:after="120" w:line="276" w:lineRule="auto"/>
        <w:ind w:left="720" w:hanging="720"/>
      </w:pPr>
      <w:r>
        <w:t xml:space="preserve">Kaji, S., Sudo, T., &amp; Ahara, K. (2020). Cubical </w:t>
      </w:r>
      <w:proofErr w:type="spellStart"/>
      <w:r>
        <w:t>Ripser</w:t>
      </w:r>
      <w:proofErr w:type="spellEnd"/>
      <w:r>
        <w:t>: Software for computing persistent homology of image and volume data. arXiv:2005.12692.</w:t>
      </w:r>
    </w:p>
    <w:p w14:paraId="5A68D1F0" w14:textId="77777777" w:rsidR="008F086F" w:rsidRDefault="00000000">
      <w:pPr>
        <w:spacing w:after="120" w:line="276" w:lineRule="auto"/>
        <w:ind w:left="720" w:hanging="720"/>
      </w:pPr>
      <w:proofErr w:type="spellStart"/>
      <w:r>
        <w:t>Kemmea</w:t>
      </w:r>
      <w:proofErr w:type="spellEnd"/>
      <w:r>
        <w:t xml:space="preserve">, A.J., &amp; </w:t>
      </w:r>
      <w:proofErr w:type="spellStart"/>
      <w:r>
        <w:t>Agyingi</w:t>
      </w:r>
      <w:proofErr w:type="spellEnd"/>
      <w:r>
        <w:t>, C.A. (2025). Persistent homology: A pedagogical introduction with biological applications. arXiv:2505.06583.</w:t>
      </w:r>
    </w:p>
    <w:p w14:paraId="5A68D1F1" w14:textId="77777777" w:rsidR="008F086F" w:rsidRDefault="00000000">
      <w:pPr>
        <w:spacing w:after="120" w:line="276" w:lineRule="auto"/>
        <w:ind w:left="720" w:hanging="720"/>
      </w:pPr>
      <w:r>
        <w:t xml:space="preserve">Maria, C., </w:t>
      </w:r>
      <w:proofErr w:type="spellStart"/>
      <w:r>
        <w:t>Boissonnat</w:t>
      </w:r>
      <w:proofErr w:type="spellEnd"/>
      <w:r>
        <w:t xml:space="preserve">, J.-D., </w:t>
      </w:r>
      <w:proofErr w:type="spellStart"/>
      <w:r>
        <w:t>Glisse</w:t>
      </w:r>
      <w:proofErr w:type="spellEnd"/>
      <w:r>
        <w:t xml:space="preserve">, M., &amp; </w:t>
      </w:r>
      <w:proofErr w:type="spellStart"/>
      <w:r>
        <w:t>Yvinec</w:t>
      </w:r>
      <w:proofErr w:type="spellEnd"/>
      <w:r>
        <w:t xml:space="preserve">, M. (2014). The </w:t>
      </w:r>
      <w:proofErr w:type="spellStart"/>
      <w:r>
        <w:t>Gudhi</w:t>
      </w:r>
      <w:proofErr w:type="spellEnd"/>
      <w:r>
        <w:t xml:space="preserve"> library: Simplicial complexes and persistent homology. In International Congress on Mathematical Software, LNCS 8592, 167–174.</w:t>
      </w:r>
    </w:p>
    <w:p w14:paraId="5A68D1F2" w14:textId="77777777" w:rsidR="008F086F" w:rsidRDefault="00000000">
      <w:pPr>
        <w:spacing w:after="120" w:line="276" w:lineRule="auto"/>
        <w:ind w:left="720" w:hanging="720"/>
      </w:pPr>
      <w:r>
        <w:t>Moon, C., Mitchell, S.A., Heath, J.E., &amp; Andrew, M. (2019). Statistical inference over persistent homology predicts fluid flow in porous media. Water Resources Research, 55(12), 9592–9603.</w:t>
      </w:r>
    </w:p>
    <w:p w14:paraId="5A68D1F3" w14:textId="77777777" w:rsidR="008F086F" w:rsidRDefault="00000000">
      <w:pPr>
        <w:spacing w:after="120" w:line="276" w:lineRule="auto"/>
        <w:ind w:left="720" w:hanging="720"/>
      </w:pPr>
      <w:r>
        <w:lastRenderedPageBreak/>
        <w:t>Otter, N., Porter, M.A., Tillmann, U., Grindrod, P., &amp; Harrington, H.A. (2017). A roadmap for the computation of persistent homology. EPJ Data Science, 6, Article 17.</w:t>
      </w:r>
    </w:p>
    <w:p w14:paraId="5A68D1F4" w14:textId="77777777" w:rsidR="008F086F" w:rsidRDefault="00000000">
      <w:pPr>
        <w:spacing w:after="120" w:line="276" w:lineRule="auto"/>
        <w:ind w:left="720" w:hanging="720"/>
      </w:pPr>
      <w:proofErr w:type="spellStart"/>
      <w:r>
        <w:t>Oudot</w:t>
      </w:r>
      <w:proofErr w:type="spellEnd"/>
      <w:r>
        <w:t>, S.Y. (2015). Persistence theory: From quiver representations to data analysis. Mathematical Surveys and Monographs, Vol. 209, AMS.</w:t>
      </w:r>
    </w:p>
    <w:p w14:paraId="5A68D1F5" w14:textId="77777777" w:rsidR="008F086F" w:rsidRDefault="00000000">
      <w:pPr>
        <w:spacing w:after="120" w:line="276" w:lineRule="auto"/>
        <w:ind w:left="720" w:hanging="720"/>
      </w:pPr>
      <w:r>
        <w:t>Robins, V., Saadatfar, M., Delgado-Friedrichs, O., &amp; Sheppard, A.P. (2016). Percolating length scales from topological persistence analysis of micro-CT images of porous materials. Water Resources Research, 52(1), 315–329.</w:t>
      </w:r>
    </w:p>
    <w:p w14:paraId="5A68D1F6" w14:textId="77777777" w:rsidR="008F086F" w:rsidRDefault="00000000">
      <w:pPr>
        <w:spacing w:after="120" w:line="276" w:lineRule="auto"/>
        <w:ind w:left="720" w:hanging="720"/>
      </w:pPr>
      <w:r>
        <w:t xml:space="preserve">Tauzin, G., Lupo, U., Tunstall, L., et al. (2021). </w:t>
      </w:r>
      <w:proofErr w:type="spellStart"/>
      <w:r>
        <w:t>giotto-tda</w:t>
      </w:r>
      <w:proofErr w:type="spellEnd"/>
      <w:r>
        <w:t>: A topological data analysis toolkit for machine learning and data exploration. Journal of Machine Learning Research, 22(39), 1–6.</w:t>
      </w:r>
    </w:p>
    <w:p w14:paraId="5A68D1F7" w14:textId="77777777" w:rsidR="008F086F" w:rsidRDefault="00000000">
      <w:pPr>
        <w:spacing w:after="120" w:line="276" w:lineRule="auto"/>
        <w:ind w:left="720" w:hanging="720"/>
      </w:pPr>
      <w:r>
        <w:t xml:space="preserve">Wagner, H., Chen, C., &amp; </w:t>
      </w:r>
      <w:proofErr w:type="spellStart"/>
      <w:r>
        <w:t>Vuçini</w:t>
      </w:r>
      <w:proofErr w:type="spellEnd"/>
      <w:r>
        <w:t>, E. (2012). Efficient computation of persistent homology for cubical data. In Topological Methods in Data Analysis and Visualization II, Springer.</w:t>
      </w:r>
    </w:p>
    <w:p w14:paraId="5A68D1F8" w14:textId="77777777" w:rsidR="008F086F" w:rsidRDefault="00000000">
      <w:pPr>
        <w:spacing w:after="120" w:line="276" w:lineRule="auto"/>
        <w:ind w:left="720" w:hanging="720"/>
      </w:pPr>
      <w:proofErr w:type="spellStart"/>
      <w:r>
        <w:t>Zomorodian</w:t>
      </w:r>
      <w:proofErr w:type="spellEnd"/>
      <w:r>
        <w:t>, A., &amp; Carlsson, G. (2005). Computing persistent homology. Discrete &amp; Computational Geometry, 33(2), 249–274.</w:t>
      </w:r>
    </w:p>
    <w:sectPr w:rsidR="008F08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33A"/>
    <w:multiLevelType w:val="hybridMultilevel"/>
    <w:tmpl w:val="C7ACB70E"/>
    <w:lvl w:ilvl="0" w:tplc="327E7C94">
      <w:start w:val="1"/>
      <w:numFmt w:val="bullet"/>
      <w:lvlText w:val="●"/>
      <w:lvlJc w:val="left"/>
      <w:pPr>
        <w:ind w:left="720" w:hanging="360"/>
      </w:pPr>
    </w:lvl>
    <w:lvl w:ilvl="1" w:tplc="C860A054">
      <w:start w:val="1"/>
      <w:numFmt w:val="bullet"/>
      <w:lvlText w:val="○"/>
      <w:lvlJc w:val="left"/>
      <w:pPr>
        <w:ind w:left="1440" w:hanging="360"/>
      </w:pPr>
    </w:lvl>
    <w:lvl w:ilvl="2" w:tplc="3C8C2688">
      <w:start w:val="1"/>
      <w:numFmt w:val="bullet"/>
      <w:lvlText w:val="■"/>
      <w:lvlJc w:val="left"/>
      <w:pPr>
        <w:ind w:left="2160" w:hanging="360"/>
      </w:pPr>
    </w:lvl>
    <w:lvl w:ilvl="3" w:tplc="BD501EA4">
      <w:start w:val="1"/>
      <w:numFmt w:val="bullet"/>
      <w:lvlText w:val="●"/>
      <w:lvlJc w:val="left"/>
      <w:pPr>
        <w:ind w:left="2880" w:hanging="360"/>
      </w:pPr>
    </w:lvl>
    <w:lvl w:ilvl="4" w:tplc="D86AECD6">
      <w:start w:val="1"/>
      <w:numFmt w:val="bullet"/>
      <w:lvlText w:val="○"/>
      <w:lvlJc w:val="left"/>
      <w:pPr>
        <w:ind w:left="3600" w:hanging="360"/>
      </w:pPr>
    </w:lvl>
    <w:lvl w:ilvl="5" w:tplc="8FBC95F4">
      <w:start w:val="1"/>
      <w:numFmt w:val="bullet"/>
      <w:lvlText w:val="■"/>
      <w:lvlJc w:val="left"/>
      <w:pPr>
        <w:ind w:left="4320" w:hanging="360"/>
      </w:pPr>
    </w:lvl>
    <w:lvl w:ilvl="6" w:tplc="206C13CC">
      <w:start w:val="1"/>
      <w:numFmt w:val="bullet"/>
      <w:lvlText w:val="●"/>
      <w:lvlJc w:val="left"/>
      <w:pPr>
        <w:ind w:left="5040" w:hanging="360"/>
      </w:pPr>
    </w:lvl>
    <w:lvl w:ilvl="7" w:tplc="DAAA46F8">
      <w:start w:val="1"/>
      <w:numFmt w:val="bullet"/>
      <w:lvlText w:val="●"/>
      <w:lvlJc w:val="left"/>
      <w:pPr>
        <w:ind w:left="5760" w:hanging="360"/>
      </w:pPr>
    </w:lvl>
    <w:lvl w:ilvl="8" w:tplc="F2D0A854">
      <w:start w:val="1"/>
      <w:numFmt w:val="bullet"/>
      <w:lvlText w:val="●"/>
      <w:lvlJc w:val="left"/>
      <w:pPr>
        <w:ind w:left="6480" w:hanging="360"/>
      </w:pPr>
    </w:lvl>
  </w:abstractNum>
  <w:num w:numId="1" w16cid:durableId="1327981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86F"/>
    <w:rsid w:val="008F086F"/>
    <w:rsid w:val="009721CD"/>
    <w:rsid w:val="00D95504"/>
    <w:rsid w:val="00DD3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8D1B2"/>
  <w15:docId w15:val="{6EFA4F79-9E6F-4AB8-82D2-24AB0DAA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200"/>
      <w:outlineLvl w:val="1"/>
    </w:pPr>
    <w:rPr>
      <w:b/>
      <w:bCs/>
      <w:sz w:val="28"/>
      <w:szCs w:val="28"/>
    </w:rPr>
  </w:style>
  <w:style w:type="paragraph" w:styleId="Heading3">
    <w:name w:val="heading 3"/>
    <w:uiPriority w:val="9"/>
    <w:semiHidden/>
    <w:unhideWhenUsed/>
    <w:qFormat/>
    <w:pPr>
      <w:spacing w:before="200" w:after="16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3290</Words>
  <Characters>20578</Characters>
  <Application>Microsoft Office Word</Application>
  <DocSecurity>0</DocSecurity>
  <Lines>294</Lines>
  <Paragraphs>69</Paragraphs>
  <ScaleCrop>false</ScaleCrop>
  <Company/>
  <LinksUpToDate>false</LinksUpToDate>
  <CharactersWithSpaces>23755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Hoydic, Corey James</cp:lastModifiedBy>
  <cp:revision>3</cp:revision>
  <dcterms:created xsi:type="dcterms:W3CDTF">2026-02-27T04:54:00Z</dcterms:created>
  <dcterms:modified xsi:type="dcterms:W3CDTF">2026-02-27T04:54:00Z</dcterms:modified>
</cp:coreProperties>
</file>