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黑体" w:hAnsi="黑体" w:eastAsia="黑体"/>
          <w:sz w:val="40"/>
        </w:rPr>
        <w:t>基于共享储能购电线性规划内核的微网多情形电力调控策略</w:t>
      </w:r>
    </w:p>
    <w:p>
      <w:pPr>
        <w:pStyle w:val="Heading1"/>
        <w:ind w:firstLine="0"/>
      </w:pPr>
      <w:r>
        <w:rPr>
          <w:rFonts w:ascii="黑体" w:hAnsi="黑体" w:eastAsia="黑体"/>
          <w:sz w:val="30"/>
        </w:rPr>
        <w:t>摘要</w:t>
      </w:r>
    </w:p>
    <w:p>
      <w:pPr/>
      <w:r>
        <w:rPr>
          <w:rFonts w:ascii="宋体" w:hAnsi="宋体" w:eastAsia="宋体"/>
          <w:sz w:val="21"/>
        </w:rPr>
        <w:t>本文面向园区微网的购电—储能联合调控，抽象出四问共用的</w:t>
      </w:r>
      <w:r>
        <w:rPr>
          <w:rFonts w:ascii="黑体" w:hAnsi="黑体" w:eastAsia="黑体"/>
          <w:b/>
          <w:sz w:val="21"/>
        </w:rPr>
        <w:t>储能—购电线性规划内核</w:t>
      </w:r>
      <w:r>
        <w:rPr>
          <w:rFonts w:ascii="宋体" w:hAnsi="宋体" w:eastAsia="宋体"/>
          <w:sz w:val="21"/>
        </w:rPr>
        <w:t>，把供需平衡与带单向效率的储电量递推统一为稀疏线性约束，再按各问的信息与费用结构逐层加装增量。</w:t>
      </w:r>
    </w:p>
    <w:p>
      <w:pPr/>
      <w:r>
        <w:rPr>
          <w:rFonts w:ascii="宋体" w:hAnsi="宋体" w:eastAsia="宋体"/>
          <w:sz w:val="21"/>
        </w:rPr>
        <w:t>针对问题一，在电价、负载、光伏全部已知的确定性情形下，以计划购电量、充放电量和显式弃光量为决策变量，全天购电费用最小为目标，建立</w:t>
      </w:r>
      <w:r>
        <w:rPr>
          <w:rFonts w:ascii="黑体" w:hAnsi="黑体" w:eastAsia="黑体"/>
          <w:b/>
          <w:sz w:val="21"/>
        </w:rPr>
        <w:t>确定性线性规划</w:t>
      </w:r>
      <w:r>
        <w:rPr>
          <w:rFonts w:ascii="宋体" w:hAnsi="宋体" w:eastAsia="宋体"/>
          <w:sz w:val="21"/>
        </w:rPr>
        <w:t xml:space="preserve">。单次线性规划子问题由 HiGHS 求得全局最优解。典型日购电费由无储能直购基线 48052.05 元降至 </w:t>
      </w:r>
      <w:r>
        <w:rPr>
          <w:rFonts w:ascii="黑体" w:hAnsi="黑体" w:eastAsia="黑体"/>
          <w:b/>
          <w:sz w:val="21"/>
        </w:rPr>
        <w:t>35126.95 元、节省 26.90%</w:t>
      </w:r>
      <w:r>
        <w:rPr>
          <w:rFonts w:ascii="宋体" w:hAnsi="宋体" w:eastAsia="宋体"/>
          <w:sz w:val="21"/>
        </w:rPr>
        <w:t>，储能把 9600 kWh 可用容量用满、日循环量达 16799.94 kWh；效率往返 0.81 造成 2749.86 元不可回收损耗，并给出五种效率读法的灵敏度对照以应对题面歧义。</w:t>
      </w:r>
    </w:p>
    <w:p>
      <w:pPr/>
      <w:r>
        <w:rPr>
          <w:rFonts w:ascii="宋体" w:hAnsi="宋体" w:eastAsia="宋体"/>
          <w:sz w:val="21"/>
        </w:rPr>
        <w:t>针对问题二，引入负载与光伏的日前预测误差以及 5 倍紧急购电，采用</w:t>
      </w:r>
      <w:r>
        <w:rPr>
          <w:rFonts w:ascii="黑体" w:hAnsi="黑体" w:eastAsia="黑体"/>
          <w:b/>
          <w:sz w:val="21"/>
        </w:rPr>
        <w:t>场景近似日前计划器与因果实时执行策略</w:t>
      </w:r>
      <w:r>
        <w:rPr>
          <w:rFonts w:ascii="宋体" w:hAnsi="宋体" w:eastAsia="宋体"/>
          <w:sz w:val="21"/>
        </w:rPr>
        <w:t xml:space="preserve">：场景线性规划只生成 0:00 购电计划，实际储能、紧急购电与弃光由逐时段因果规则产生。采用同日型最近 4 天同时段均值预测，负载 MAE 为 </w:t>
      </w:r>
      <w:r>
        <w:rPr>
          <w:rFonts w:ascii="黑体" w:hAnsi="黑体" w:eastAsia="黑体"/>
          <w:b/>
          <w:sz w:val="21"/>
        </w:rPr>
        <w:t>137.52 kW</w:t>
      </w:r>
      <w:r>
        <w:rPr>
          <w:rFonts w:ascii="宋体" w:hAnsi="宋体" w:eastAsia="宋体"/>
          <w:sz w:val="21"/>
        </w:rPr>
        <w:t xml:space="preserve">。交付期总费用 </w:t>
      </w:r>
      <w:r>
        <w:rPr>
          <w:rFonts w:ascii="黑体" w:hAnsi="黑体" w:eastAsia="黑体"/>
          <w:b/>
          <w:sz w:val="21"/>
        </w:rPr>
        <w:t>14104438.86 元</w:t>
      </w:r>
      <w:r>
        <w:rPr>
          <w:rFonts w:ascii="宋体" w:hAnsi="宋体" w:eastAsia="宋体"/>
          <w:sz w:val="21"/>
        </w:rPr>
        <w:t xml:space="preserve">，点预测基线的备用裕度扫描在 </w:t>
      </w:r>
      <m:oMath>
        <m:r>
          <m:t>m=0.03</m:t>
        </m:r>
      </m:oMath>
      <w:r>
        <w:rPr>
          <w:rFonts w:ascii="宋体" w:hAnsi="宋体" w:eastAsia="宋体"/>
          <w:sz w:val="21"/>
        </w:rPr>
        <w:t xml:space="preserve"> 取得当前网格最低费用，其方向与 0.8 临界分位附近的理论判断一致，但完整计划执行体系不称为两阶段全局最优。</w:t>
      </w:r>
    </w:p>
    <w:p>
      <w:pPr/>
      <w:r>
        <w:rPr>
          <w:rFonts w:ascii="宋体" w:hAnsi="宋体" w:eastAsia="宋体"/>
          <w:sz w:val="21"/>
        </w:rPr>
        <w:t>针对问题三，放开 6:00、12:00、18:00 三个后续决策时刻，以调整后购电量为新决策量、按滚动更新的预报重优化未发生时段，并把相对原计划的上调与下调偏差分解为非负部分计入</w:t>
      </w:r>
      <w:r>
        <w:rPr>
          <w:rFonts w:ascii="黑体" w:hAnsi="黑体" w:eastAsia="黑体"/>
          <w:b/>
          <w:sz w:val="21"/>
        </w:rPr>
        <w:t>三段式分段线性费用</w:t>
      </w:r>
      <w:r>
        <w:rPr>
          <w:rFonts w:ascii="宋体" w:hAnsi="宋体" w:eastAsia="宋体"/>
          <w:sz w:val="21"/>
        </w:rPr>
        <w:t xml:space="preserve">，构建点预测滚动优化框架。滚动方案总费用为 </w:t>
      </w:r>
      <w:r>
        <w:rPr>
          <w:rFonts w:ascii="黑体" w:hAnsi="黑体" w:eastAsia="黑体"/>
          <w:b/>
          <w:sz w:val="21"/>
        </w:rPr>
        <w:t>13537151.33 元</w:t>
      </w:r>
      <w:r>
        <w:rPr>
          <w:rFonts w:ascii="宋体" w:hAnsi="宋体" w:eastAsia="宋体"/>
          <w:sz w:val="21"/>
        </w:rPr>
        <w:t xml:space="preserve">；相对问题三内部 S0 基线节省 </w:t>
      </w:r>
      <w:r>
        <w:rPr>
          <w:rFonts w:ascii="黑体" w:hAnsi="黑体" w:eastAsia="黑体"/>
          <w:b/>
          <w:sz w:val="21"/>
        </w:rPr>
        <w:t>62.18 万元</w:t>
      </w:r>
      <w:r>
        <w:rPr>
          <w:rFonts w:ascii="宋体" w:hAnsi="宋体" w:eastAsia="宋体"/>
          <w:sz w:val="21"/>
        </w:rPr>
        <w:t xml:space="preserve">，相对问题二场景近似日前方案节省 </w:t>
      </w:r>
      <w:r>
        <w:rPr>
          <w:rFonts w:ascii="黑体" w:hAnsi="黑体" w:eastAsia="黑体"/>
          <w:b/>
          <w:sz w:val="21"/>
        </w:rPr>
        <w:t>56.73 万元</w:t>
      </w:r>
      <w:r>
        <w:rPr>
          <w:rFonts w:ascii="宋体" w:hAnsi="宋体" w:eastAsia="宋体"/>
          <w:sz w:val="21"/>
        </w:rPr>
        <w:t>。7 日块自助法给出的两项同期总费用差 95% 置信区间分别为 42.49～87.78 万元和 37.39～79.11 万元。</w:t>
      </w:r>
    </w:p>
    <w:p>
      <w:pPr/>
      <w:r>
        <w:rPr>
          <w:rFonts w:ascii="宋体" w:hAnsi="宋体" w:eastAsia="宋体"/>
          <w:sz w:val="21"/>
        </w:rPr>
        <w:t xml:space="preserve">针对问题四，将电价从固定曲线重构为逐日实时波动 </w:t>
      </w:r>
      <m:oMath>
        <m:sSub>
          <m:e>
            <m:r>
              <m:t>p</m:t>
            </m:r>
          </m:e>
          <m:sub>
            <m:r>
              <m:t>d,t</m:t>
            </m:r>
          </m:sub>
        </m:sSub>
      </m:oMath>
      <w:r>
        <w:rPr>
          <w:rFonts w:ascii="宋体" w:hAnsi="宋体" w:eastAsia="宋体"/>
          <w:sz w:val="21"/>
        </w:rPr>
        <w:t xml:space="preserve">，沿用前述储能约束、预测器与滚动结构，并设电价"日前已知/需预测"双设定评估价格信息价值。波动电价下两阶段口径与滚动口径的费用分别上升约 </w:t>
      </w:r>
      <w:r>
        <w:rPr>
          <w:rFonts w:ascii="黑体" w:hAnsi="黑体" w:eastAsia="黑体"/>
          <w:b/>
          <w:sz w:val="21"/>
        </w:rPr>
        <w:t>4.70%</w:t>
      </w:r>
      <w:r>
        <w:rPr>
          <w:rFonts w:ascii="宋体" w:hAnsi="宋体" w:eastAsia="宋体"/>
          <w:sz w:val="21"/>
        </w:rPr>
        <w:t xml:space="preserve"> 和 </w:t>
      </w:r>
      <w:r>
        <w:rPr>
          <w:rFonts w:ascii="黑体" w:hAnsi="黑体" w:eastAsia="黑体"/>
          <w:b/>
          <w:sz w:val="21"/>
        </w:rPr>
        <w:t>4.72%</w:t>
      </w:r>
      <w:r>
        <w:rPr>
          <w:rFonts w:ascii="宋体" w:hAnsi="宋体" w:eastAsia="宋体"/>
          <w:sz w:val="21"/>
        </w:rPr>
        <w:t xml:space="preserve">，滚动储能循环量上升约 5.38%；日前掌握当日电价对应的费用差约 </w:t>
      </w:r>
      <w:r>
        <w:rPr>
          <w:rFonts w:ascii="黑体" w:hAnsi="黑体" w:eastAsia="黑体"/>
          <w:b/>
          <w:sz w:val="21"/>
        </w:rPr>
        <w:t>0.50%</w:t>
      </w:r>
      <w:r>
        <w:rPr>
          <w:rFonts w:ascii="宋体" w:hAnsi="宋体" w:eastAsia="宋体"/>
          <w:sz w:val="21"/>
        </w:rPr>
        <w:t>。由于均值、价差与波动同时改变，这些比较只支持关联性解释。全部结果均从新结果表逐时段复算，在所列信息边界和审计项目下未发现明显冲突。</w:t>
      </w:r>
    </w:p>
    <w:p>
      <w:pPr/>
      <w:r>
        <w:rPr>
          <w:rFonts w:ascii="黑体" w:hAnsi="黑体" w:eastAsia="黑体"/>
          <w:b/>
          <w:sz w:val="21"/>
        </w:rPr>
        <w:t>关键词：</w:t>
      </w:r>
      <w:r>
        <w:rPr>
          <w:rFonts w:ascii="宋体" w:hAnsi="宋体" w:eastAsia="宋体"/>
          <w:sz w:val="21"/>
        </w:rPr>
        <w:t xml:space="preserve"> 微网能量管理；储能套利；线性规划；两阶段随机规划；模型预测控制；需求侧管理</w:t>
      </w:r>
    </w:p>
    <w:p>
      <w:pPr>
        <w:pStyle w:val="Heading1"/>
        <w:ind w:firstLine="0"/>
      </w:pPr>
      <w:r>
        <w:rPr>
          <w:rFonts w:ascii="黑体" w:hAnsi="黑体" w:eastAsia="黑体"/>
          <w:sz w:val="30"/>
        </w:rPr>
        <w:t>一、问题重述与分析</w:t>
      </w:r>
    </w:p>
    <w:p>
      <w:pPr>
        <w:pStyle w:val="Heading2"/>
        <w:ind w:firstLine="0"/>
      </w:pPr>
      <w:r>
        <w:rPr>
          <w:rFonts w:ascii="黑体" w:hAnsi="黑体" w:eastAsia="黑体"/>
          <w:sz w:val="26"/>
        </w:rPr>
        <w:t>1.1 问题背景与研究对象</w:t>
      </w:r>
    </w:p>
    <w:p>
      <w:pPr/>
      <w:r>
        <w:rPr>
          <w:rFonts w:ascii="宋体" w:hAnsi="宋体" w:eastAsia="宋体"/>
          <w:sz w:val="21"/>
        </w:rPr>
        <w:t>在"双碳"目标推动下，配电侧微网正由被动用电单元转变为集光伏发电、储能调节与外部电网购电于一体的主动能量管理单元</w:t>
      </w:r>
      <w:r>
        <w:rPr>
          <w:rFonts w:ascii="宋体" w:hAnsi="宋体" w:eastAsia="宋体"/>
          <w:sz w:val="21"/>
          <w:vertAlign w:val="superscript"/>
        </w:rPr>
        <w:t>[1]</w:t>
      </w:r>
      <w:r>
        <w:rPr>
          <w:rFonts w:ascii="宋体" w:hAnsi="宋体" w:eastAsia="宋体"/>
          <w:sz w:val="21"/>
        </w:rPr>
        <w:t>。作为分布式能源接入配电网的有效形式，微网的经济运行核心在于协调可再生出力、储能与需求侧资源</w:t>
      </w:r>
      <w:r>
        <w:rPr>
          <w:rFonts w:ascii="宋体" w:hAnsi="宋体" w:eastAsia="宋体"/>
          <w:sz w:val="21"/>
          <w:vertAlign w:val="superscript"/>
        </w:rPr>
        <w:t>[2]</w:t>
      </w:r>
      <w:r>
        <w:rPr>
          <w:rFonts w:ascii="宋体" w:hAnsi="宋体" w:eastAsia="宋体"/>
          <w:sz w:val="21"/>
        </w:rPr>
        <w:t>。本文研究的园区微网由外部电网、屋顶光伏、一套额定容量 12000 kWh 的储能设备与小区负载构成。园区管理者需要在每天 0:00 向电网提交购电计划，并在日内利用储能"低价充电、高价放电"的套利能力压低总购电费用，这本质上是一种以价格信号引导用电时序的需求侧管理</w:t>
      </w:r>
      <w:r>
        <w:rPr>
          <w:rFonts w:ascii="宋体" w:hAnsi="宋体" w:eastAsia="宋体"/>
          <w:sz w:val="21"/>
          <w:vertAlign w:val="superscript"/>
        </w:rPr>
        <w:t>[3]</w:t>
      </w:r>
      <w:r>
        <w:rPr>
          <w:rFonts w:ascii="宋体" w:hAnsi="宋体" w:eastAsia="宋体"/>
          <w:sz w:val="21"/>
        </w:rPr>
        <w:t>。由于光伏出力与负载均存在不确定性，实际用电与计划之间的偏差需通过高价紧急购电或计划调整来弥补，因而调控策略的优劣直接决定园区的运行经济性。储能"低价充电、高价放电"的价差套利价值早已为电价套利研究所证实，其收益受充放电效率与循环损耗的显著影响</w:t>
      </w:r>
      <w:r>
        <w:rPr>
          <w:rFonts w:ascii="宋体" w:hAnsi="宋体" w:eastAsia="宋体"/>
          <w:sz w:val="21"/>
          <w:vertAlign w:val="superscript"/>
        </w:rPr>
        <w:t>[4]</w:t>
      </w:r>
      <w:r>
        <w:rPr>
          <w:rFonts w:ascii="宋体" w:hAnsi="宋体" w:eastAsia="宋体"/>
          <w:sz w:val="21"/>
        </w:rPr>
        <w:t>。</w:t>
      </w:r>
    </w:p>
    <w:p>
      <w:pPr>
        <w:pStyle w:val="Heading2"/>
        <w:ind w:firstLine="0"/>
      </w:pPr>
      <w:r>
        <w:rPr>
          <w:rFonts w:ascii="黑体" w:hAnsi="黑体" w:eastAsia="黑体"/>
          <w:sz w:val="26"/>
        </w:rPr>
        <w:t>1.2 四个子问题的任务要求</w:t>
      </w:r>
    </w:p>
    <w:p>
      <w:pPr/>
      <w:r>
        <w:rPr>
          <w:rFonts w:ascii="宋体" w:hAnsi="宋体" w:eastAsia="宋体"/>
          <w:sz w:val="21"/>
        </w:rPr>
        <w:t>围绕这一系统，题目沿"信息结构逐步复杂化"的主线设置了四个递进的任务。问题一要求在电价、负载、光伏全部已知的确定性情形下，求单日最优购电与储能调度。问题二要求在负载与光伏存在日前预测误差、且缺口需以高价紧急购电弥补的条件下，给出 0:00 的鲁棒购电计划。问题三要求在问题二的基础上允许于 6:00、12:00、18:00 三个时刻根据滚动更新的预报调整尚未发生时段的购电量，而调整须按三段式规则付费。问题四要求把电价从固定曲线升级为逐日实时波动，在新的价格环境下重构问题二与问题三并评估价格信息的价值。四项任务共享同一套储能物理约束，差异集中在决策时刻可用的信息与偏差如何计费这两个维度。</w:t>
      </w:r>
    </w:p>
    <w:p>
      <w:pPr>
        <w:pStyle w:val="Heading2"/>
        <w:ind w:firstLine="0"/>
      </w:pPr>
      <w:r>
        <w:rPr>
          <w:rFonts w:ascii="黑体" w:hAnsi="黑体" w:eastAsia="黑体"/>
          <w:sz w:val="26"/>
        </w:rPr>
        <w:t>1.3 问题一的分析</w:t>
      </w:r>
    </w:p>
    <w:p>
      <w:pPr/>
      <w:r>
        <w:rPr>
          <w:rFonts w:ascii="宋体" w:hAnsi="宋体" w:eastAsia="宋体"/>
          <w:sz w:val="21"/>
        </w:rPr>
        <w:t>问题一是四问中信息最完整的一问，电价、负载与光伏在 0:00 全部已知，不含预测误差，也不设紧急购电机制。因此它本质上是一个确定性优化：以各时段计划购电量与储能充放电量为决策变量，以全天购电费用最小为目标。储能的经济意义在于把负载沿价格轴重新分配，在价格低谷充电、在价格高峰放电顶替购电。由于目标线性、约束（供需平衡、储电量递推与区间、功率上限）也线性，整个问题是一个凸线性规划，可由求解器求得全局最优而无局部最优陷阱。本问的解同时构成后续各问的性能上界与参考轨迹。需要注意的是，题面"充放电效率为 90%"存在单向与往返的读法歧义，会直接影响损耗与最优费用，故须设主读法并对多种读法做灵敏度对照。</w:t>
      </w:r>
    </w:p>
    <w:p>
      <w:pPr>
        <w:pStyle w:val="Heading2"/>
        <w:ind w:firstLine="0"/>
      </w:pPr>
      <w:r>
        <w:rPr>
          <w:rFonts w:ascii="黑体" w:hAnsi="黑体" w:eastAsia="黑体"/>
          <w:sz w:val="26"/>
        </w:rPr>
        <w:t>1.4 问题二的分析</w:t>
      </w:r>
    </w:p>
    <w:p>
      <w:pPr/>
      <w:r>
        <w:rPr>
          <w:rFonts w:ascii="宋体" w:hAnsi="宋体" w:eastAsia="宋体"/>
          <w:sz w:val="21"/>
        </w:rPr>
        <w:t>问题二把信息结构从全知改为日前，0:00 必须锁定全天计划购电量，而当日真实负载与光伏此刻未知，只能依赖历史预测，日内缺口由 5 倍电价的紧急购电弥补。这带来两个新难点。其一是预测，须在严格早于当日 0:00 的历史上构造负载与光伏的点预测；由于全年负载呈周内双日型，跨日型平均会系统性混淆高低负载日，故预测必须按日型分组。其二是不确定性下的决策权衡，计划购电偏低会触发昂贵的紧急购电、偏高则多付常规电价买入无用电量，二者需要折中。这一"此时此地"决策加"待观测后修正"的分层结构，正是两阶段随机规划的标准范式，其最优计划量并非需求均值，而应压到由紧急倍数决定的报童临界分位附近。</w:t>
      </w:r>
    </w:p>
    <w:p>
      <w:pPr>
        <w:pStyle w:val="Heading2"/>
        <w:ind w:firstLine="0"/>
      </w:pPr>
      <w:r>
        <w:rPr>
          <w:rFonts w:ascii="黑体" w:hAnsi="黑体" w:eastAsia="黑体"/>
          <w:sz w:val="26"/>
        </w:rPr>
        <w:t>1.5 问题三的分析</w:t>
      </w:r>
    </w:p>
    <w:p>
      <w:pPr/>
      <w:r>
        <w:rPr>
          <w:rFonts w:ascii="宋体" w:hAnsi="宋体" w:eastAsia="宋体"/>
          <w:sz w:val="21"/>
        </w:rPr>
        <w:t>问题三在问题二之外放开了日内的决策自由度，允许在 6:00、12:00、18:00 依据滚动更新的预报调整尚未发生时段的购电量。这一机制的价值来自预报的时效性，越临近的时段预报越准，据此修正计划可显著压缩缺口，因而它天然对应模型预测控制（滚动时域优化）的思想。但调整并非免费，相对 0:00 原计划的上调按 1.5 倍电价计费、下调按 0.5 倍电价计违约金，构成三段式分段线性费用。因此问题三的核心是一个净收益核算：滚动调整省下的紧急购电费，是否足以抵偿新增的调整费用。求解需在保留问题二全部储能约束与预测器的前提下，增加滚动重优化框架与分段费用的线性刻画。</w:t>
      </w:r>
    </w:p>
    <w:p>
      <w:pPr>
        <w:pStyle w:val="Heading2"/>
        <w:ind w:firstLine="0"/>
      </w:pPr>
      <w:r>
        <w:rPr>
          <w:rFonts w:ascii="黑体" w:hAnsi="黑体" w:eastAsia="黑体"/>
          <w:sz w:val="26"/>
        </w:rPr>
        <w:t>1.6 问题四的分析</w:t>
      </w:r>
    </w:p>
    <w:p>
      <w:pPr/>
      <w:r>
        <w:rPr>
          <w:rFonts w:ascii="宋体" w:hAnsi="宋体" w:eastAsia="宋体"/>
          <w:sz w:val="21"/>
        </w:rPr>
        <w:t>问题四把电价从固定曲线升级为逐日实时波动，目标函数中的常数电价随之变为随日变化项，而储能物理约束、预测器与滚动结构可以整体沿用问题二、三。波动电价带来两点新影响。其一是价格结构本身，波动电价区间更宽、日内价差更大，会改变储能的最优循环强度。其二是价格信息的可知性，0:00 制定计划时当日电价是否已知构成一个新的决策前提，为此需设"日前已知"与"需预测"两种设定，其费用之差即为价格信息的价值。问题四的分析目标不仅是重算成本，更是辨析在波动价格环境下真正起作用的究竟是提前掌握价格，还是日内的滚动调整能力。</w:t>
      </w:r>
    </w:p>
    <w:p>
      <w:pPr>
        <w:pStyle w:val="Heading2"/>
        <w:ind w:firstLine="0"/>
      </w:pPr>
      <w:r>
        <w:rPr>
          <w:rFonts w:ascii="黑体" w:hAnsi="黑体" w:eastAsia="黑体"/>
          <w:sz w:val="26"/>
        </w:rPr>
        <w:t>1.7 数据条件与总体建模思路</w:t>
      </w:r>
    </w:p>
    <w:p>
      <w:pPr/>
      <w:r>
        <w:rPr>
          <w:rFonts w:ascii="宋体" w:hAnsi="宋体" w:eastAsia="宋体"/>
          <w:sz w:val="21"/>
        </w:rPr>
        <w:t xml:space="preserve">题目提供五份附件：附件 1 为一个"平均日"的 144 段分时电价、负载与光伏功率；附件 2 为全年 365 天逐 10 分钟的实际负载与光伏功率；附件 3 为全年在四个时刻发布的整点光伏预报；附件 4 为全年逐 10 分钟的实际波动电价；附件 5 为交付模板。经核验，附件 1 的三列恰为附件 2、附件 4 全年 365 天的逐时段均值（电价列相关系数为 1.0，最大偏差在 </w:t>
      </w:r>
      <m:oMath>
        <m:sSup>
          <m:e>
            <m:r>
              <m:t>10</m:t>
            </m:r>
          </m:e>
          <m:sup>
            <m:r>
              <m:t>−5</m:t>
            </m:r>
          </m:sup>
        </m:sSup>
      </m:oMath>
      <w:r>
        <w:rPr>
          <w:rFonts w:ascii="宋体" w:hAnsi="宋体" w:eastAsia="宋体"/>
          <w:sz w:val="21"/>
        </w:rPr>
        <w:t xml:space="preserve"> 量级），因此附件 1 只能充当"典型日"断面，不对应任何真实日期；这一事实决定了问题一是单日确定性问题，而问题二至问题四必须回到 365 天的真实序列上滚动求解。全年负载呈现完全规律的周内双日型，52 个周五与 52 个周六自成低负载日，其余为高负载日，两簇几乎不重叠。交付区间统一取 2025-02-01 至 2025-12-31 共 334 天，1 月仅作为历史预热窗口。</w:t>
      </w:r>
    </w:p>
    <w:p>
      <w:pPr/>
      <w:r>
        <w:rPr>
          <w:rFonts w:ascii="宋体" w:hAnsi="宋体" w:eastAsia="宋体"/>
          <w:sz w:val="21"/>
        </w:rPr>
        <w:t xml:space="preserve">本文先抽象四问共用的储能与购电内核，把功率电量换算、含弃光的供需平衡等式、带单向效率的储电量递推、运行区间、功率上限和末期状态统一为稀疏线性约束；随后依次加入确定性优化、场景近似日前计划与因果执行、点预测滚动调整、波动电价重构。在代码记录的历史索引与发布时间边界下，日前负载和场景历史均满足 </w:t>
      </w:r>
      <m:oMath>
        <m:r>
          <m:t>j&lt;d</m:t>
        </m:r>
      </m:oMath>
      <w:r>
        <w:rPr>
          <w:rFonts w:ascii="宋体" w:hAnsi="宋体" w:eastAsia="宋体"/>
          <w:sz w:val="21"/>
        </w:rPr>
        <w:t>；这一审计结论只限于已列检查，不以紧急购电非零作为无泄漏证明。</w:t>
      </w:r>
    </w:p>
    <w:p>
      <w:pPr>
        <w:pStyle w:val="Heading1"/>
        <w:ind w:firstLine="0"/>
      </w:pPr>
      <w:r>
        <w:rPr>
          <w:rFonts w:ascii="黑体" w:hAnsi="黑体" w:eastAsia="黑体"/>
          <w:sz w:val="30"/>
        </w:rPr>
        <w:t>二、模型假设与符号说明</w:t>
      </w:r>
    </w:p>
    <w:p>
      <w:pPr>
        <w:pStyle w:val="Heading2"/>
        <w:ind w:firstLine="0"/>
      </w:pPr>
      <w:r>
        <w:rPr>
          <w:rFonts w:ascii="黑体" w:hAnsi="黑体" w:eastAsia="黑体"/>
          <w:sz w:val="26"/>
        </w:rPr>
        <w:t>2.1 模型假设</w:t>
      </w:r>
    </w:p>
    <w:p>
      <w:pPr/>
      <w:r>
        <w:rPr>
          <w:rFonts w:ascii="宋体" w:hAnsi="宋体" w:eastAsia="宋体"/>
          <w:sz w:val="21"/>
        </w:rPr>
        <w:t>结合题面未完全规定、而建模又必须补足的条件，本文作出如下假设，每条附一句合理性说明：</w:t>
      </w:r>
    </w:p>
    <w:p>
      <w:pPr/>
      <w:r>
        <w:rPr>
          <w:rFonts w:ascii="宋体" w:hAnsi="宋体" w:eastAsia="宋体"/>
          <w:sz w:val="21"/>
        </w:rPr>
        <w:t>（1）</w:t>
      </w:r>
      <w:r>
        <w:rPr>
          <w:rFonts w:ascii="黑体" w:hAnsi="黑体" w:eastAsia="黑体"/>
          <w:b/>
          <w:sz w:val="21"/>
        </w:rPr>
        <w:t>充放电效率作用于单向，充、放各取 90%，往返效率为 0.81。</w:t>
      </w:r>
      <w:r>
        <w:rPr>
          <w:rFonts w:ascii="宋体" w:hAnsi="宋体" w:eastAsia="宋体"/>
          <w:sz w:val="21"/>
        </w:rPr>
        <w:t xml:space="preserve"> 题面"储能设备的充放电效率为 90%"把充与放并列陈述，最自然的读法是二者各自 90%；这也是"仅充侧""仅放侧""往返 90%""各 90%"四种读法中最保守的一种，不会高估储能收益，故取为主设定并在问题一中给出四读法灵敏度。</w:t>
      </w:r>
    </w:p>
    <w:p>
      <w:pPr/>
      <w:r>
        <w:rPr>
          <w:rFonts w:ascii="宋体" w:hAnsi="宋体" w:eastAsia="宋体"/>
          <w:sz w:val="21"/>
        </w:rPr>
        <w:t>（2）</w:t>
      </w:r>
      <w:r>
        <w:rPr>
          <w:rFonts w:ascii="黑体" w:hAnsi="黑体" w:eastAsia="黑体"/>
          <w:b/>
          <w:sz w:val="21"/>
        </w:rPr>
        <w:t>储能可在日内按实际偏差实时再调度，仅购电计划在 0:00 锁定。</w:t>
      </w:r>
      <w:r>
        <w:rPr>
          <w:rFonts w:ascii="宋体" w:hAnsi="宋体" w:eastAsia="宋体"/>
          <w:sz w:val="21"/>
        </w:rPr>
        <w:t xml:space="preserve"> 题面只要求在 0:00 制定购电计划，未声明储能动作同时被锁定；储能是园区自有设备，物理上具备实时响应能力。</w:t>
      </w:r>
    </w:p>
    <w:p>
      <w:pPr/>
      <w:r>
        <w:rPr>
          <w:rFonts w:ascii="宋体" w:hAnsi="宋体" w:eastAsia="宋体"/>
          <w:sz w:val="21"/>
        </w:rPr>
        <w:t>（3）</w:t>
      </w:r>
      <w:r>
        <w:rPr>
          <w:rFonts w:ascii="黑体" w:hAnsi="黑体" w:eastAsia="黑体"/>
          <w:b/>
          <w:sz w:val="21"/>
        </w:rPr>
        <w:t>跨日储电量连续，并设置计算期末状态。</w:t>
      </w:r>
      <w:r>
        <w:rPr>
          <w:rFonts w:ascii="宋体" w:hAnsi="宋体" w:eastAsia="宋体"/>
          <w:sz w:val="21"/>
        </w:rPr>
        <w:t xml:space="preserve"> 初始状态只在 2025 年 1 月 1 日 0:00 设为 6000 kWh；1 月参与 SOC 预热，2 月 1 日沿用 1 月 31 日末状态，不重置。问题一仍要求日内首尾闭合；问题二至四在 2025 年 12 月 31 日 24:00 令 </w:t>
      </w:r>
      <m:oMath>
        <m:r>
          <m:t>E=6000</m:t>
        </m:r>
      </m:oMath>
      <w:r>
        <w:rPr>
          <w:rFonts w:ascii="宋体" w:hAnsi="宋体" w:eastAsia="宋体"/>
          <w:sz w:val="21"/>
        </w:rPr>
        <w:t xml:space="preserve"> kWh，避免期末放空造成虚假降费。</w:t>
      </w:r>
    </w:p>
    <w:p>
      <w:pPr/>
      <w:r>
        <w:rPr>
          <w:rFonts w:ascii="宋体" w:hAnsi="宋体" w:eastAsia="宋体"/>
          <w:sz w:val="21"/>
        </w:rPr>
        <w:t>（4）</w:t>
      </w:r>
      <w:r>
        <w:rPr>
          <w:rFonts w:ascii="黑体" w:hAnsi="黑体" w:eastAsia="黑体"/>
          <w:b/>
          <w:sz w:val="21"/>
        </w:rPr>
        <w:t>日前计划的信息集截止于当日 0:00。</w:t>
      </w:r>
      <w:r>
        <w:rPr>
          <w:rFonts w:ascii="宋体" w:hAnsi="宋体" w:eastAsia="宋体"/>
          <w:sz w:val="21"/>
        </w:rPr>
        <w:t xml:space="preserve"> 所有负载历史与残差场景索引均满足 </w:t>
      </w:r>
      <m:oMath>
        <m:r>
          <m:t>j&lt;d</m:t>
        </m:r>
      </m:oMath>
      <w:r>
        <w:rPr>
          <w:rFonts w:ascii="宋体" w:hAnsi="宋体" w:eastAsia="宋体"/>
          <w:sz w:val="21"/>
        </w:rPr>
        <w:t>；2025 年 1 月 1 日无历史时使用附件 1 典型负载作为先验，不用当天实际值回填。信息边界由索引轨迹检查，紧急购电量只作为结果指标。</w:t>
      </w:r>
    </w:p>
    <w:p>
      <w:pPr/>
      <w:r>
        <w:rPr>
          <w:rFonts w:ascii="宋体" w:hAnsi="宋体" w:eastAsia="宋体"/>
          <w:sz w:val="21"/>
        </w:rPr>
        <w:t>（5）</w:t>
      </w:r>
      <w:r>
        <w:rPr>
          <w:rFonts w:ascii="黑体" w:hAnsi="黑体" w:eastAsia="黑体"/>
          <w:b/>
          <w:sz w:val="21"/>
        </w:rPr>
        <w:t>整点光伏预报按分段线性插值到 10 分钟分辨率并截为非负。</w:t>
      </w:r>
      <w:r>
        <w:rPr>
          <w:rFonts w:ascii="宋体" w:hAnsi="宋体" w:eastAsia="宋体"/>
          <w:sz w:val="21"/>
        </w:rPr>
        <w:t xml:space="preserve"> 插值只读取相应发布时间在附件 3 中已发布的预报行，不使用全年实际光伏构造夜间掩码。</w:t>
      </w:r>
    </w:p>
    <w:p>
      <w:pPr/>
      <w:r>
        <w:rPr>
          <w:rFonts w:ascii="宋体" w:hAnsi="宋体" w:eastAsia="宋体"/>
          <w:sz w:val="21"/>
        </w:rPr>
        <w:t>（6）</w:t>
      </w:r>
      <w:r>
        <w:rPr>
          <w:rFonts w:ascii="黑体" w:hAnsi="黑体" w:eastAsia="黑体"/>
          <w:b/>
          <w:sz w:val="21"/>
        </w:rPr>
        <w:t>问题二采用场景近似日前计划器与因果实时执行策略。</w:t>
      </w:r>
      <w:r>
        <w:rPr>
          <w:rFonts w:ascii="宋体" w:hAnsi="宋体" w:eastAsia="宋体"/>
          <w:sz w:val="21"/>
        </w:rPr>
        <w:t xml:space="preserve"> 场景内充放电只用于评估候选购电计划，不直接作为现场指令；实际 </w:t>
      </w:r>
      <m:oMath>
        <m:r>
          <m:t>c,s,u,q</m:t>
        </m:r>
      </m:oMath>
      <w:r>
        <w:rPr>
          <w:rFonts w:ascii="宋体" w:hAnsi="宋体" w:eastAsia="宋体"/>
          <w:sz w:val="21"/>
        </w:rPr>
        <w:t xml:space="preserve"> 由当前 SOC、当期已实现 </w:t>
      </w:r>
      <m:oMath>
        <m:r>
          <m:t>L,G</m:t>
        </m:r>
      </m:oMath>
      <w:r>
        <w:rPr>
          <w:rFonts w:ascii="宋体" w:hAnsi="宋体" w:eastAsia="宋体"/>
          <w:sz w:val="21"/>
        </w:rPr>
        <w:t>、0:00 购电计划和日前参考轨迹共同决定。因此完整体系不是严格的两阶段全局最优策略。</w:t>
      </w:r>
    </w:p>
    <w:p>
      <w:pPr>
        <w:pStyle w:val="Heading2"/>
        <w:ind w:firstLine="0"/>
      </w:pPr>
      <w:r>
        <w:rPr>
          <w:rFonts w:ascii="黑体" w:hAnsi="黑体" w:eastAsia="黑体"/>
          <w:sz w:val="26"/>
        </w:rPr>
        <w:t>2.2 符号说明</w:t>
      </w:r>
    </w:p>
    <w:p>
      <w:pPr/>
      <w:r>
        <w:rPr>
          <w:rFonts w:ascii="宋体" w:hAnsi="宋体" w:eastAsia="宋体"/>
          <w:sz w:val="21"/>
        </w:rPr>
        <w:t>下表汇总全文反复使用、直接进入核心目标或约束的数学记号，一次性派生下标在正文首次出现处解释。</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shd w:fill="D9EAF7"/>
          </w:tcPr>
          <w:p>
            <w:pPr>
              <w:spacing w:line="240" w:lineRule="auto"/>
              <w:ind w:firstLine="0"/>
              <w:jc w:val="center"/>
            </w:pPr>
            <w:r>
              <w:rPr>
                <w:rFonts w:ascii="黑体" w:hAnsi="黑体" w:eastAsia="黑体"/>
                <w:b/>
                <w:sz w:val="17"/>
              </w:rPr>
              <w:t>符号</w:t>
            </w:r>
          </w:p>
        </w:tc>
        <w:tc>
          <w:tcPr>
            <w:tcW w:type="dxa" w:w="2353"/>
            <w:vAlign w:val="center"/>
            <w:shd w:fill="D9EAF7"/>
          </w:tcPr>
          <w:p>
            <w:pPr>
              <w:spacing w:line="240" w:lineRule="auto"/>
              <w:ind w:firstLine="0"/>
              <w:jc w:val="center"/>
            </w:pPr>
            <w:r>
              <w:rPr>
                <w:rFonts w:ascii="黑体" w:hAnsi="黑体" w:eastAsia="黑体"/>
                <w:b/>
                <w:sz w:val="17"/>
              </w:rPr>
              <w:t>含义</w:t>
            </w:r>
          </w:p>
        </w:tc>
        <w:tc>
          <w:tcPr>
            <w:tcW w:type="dxa" w:w="2353"/>
            <w:vAlign w:val="center"/>
            <w:shd w:fill="D9EAF7"/>
          </w:tcPr>
          <w:p>
            <w:pPr>
              <w:spacing w:line="240" w:lineRule="auto"/>
              <w:ind w:firstLine="0"/>
              <w:jc w:val="center"/>
            </w:pPr>
            <w:r>
              <w:rPr>
                <w:rFonts w:ascii="黑体" w:hAnsi="黑体" w:eastAsia="黑体"/>
                <w:b/>
                <w:sz w:val="17"/>
              </w:rPr>
              <w:t>单位</w:t>
            </w:r>
          </w:p>
        </w:tc>
        <w:tc>
          <w:tcPr>
            <w:tcW w:type="dxa" w:w="2353"/>
            <w:vAlign w:val="center"/>
            <w:shd w:fill="D9EAF7"/>
          </w:tcPr>
          <w:p>
            <w:pPr>
              <w:spacing w:line="240" w:lineRule="auto"/>
              <w:ind w:firstLine="0"/>
              <w:jc w:val="center"/>
            </w:pPr>
            <w:r>
              <w:rPr>
                <w:rFonts w:ascii="黑体" w:hAnsi="黑体" w:eastAsia="黑体"/>
                <w:b/>
                <w:sz w:val="17"/>
              </w:rPr>
              <w:t>取值范围</w:t>
            </w:r>
          </w:p>
        </w:tc>
      </w:tr>
      <w:tr>
        <w:tc>
          <w:tcPr>
            <w:tcW w:type="dxa" w:w="2353"/>
            <w:vAlign w:val="center"/>
          </w:tcPr>
          <w:p>
            <w:pPr>
              <w:spacing w:line="240" w:lineRule="auto"/>
              <w:ind w:firstLine="0"/>
              <w:jc w:val="left"/>
            </w:pPr>
            <m:oMath>
              <m:r>
                <m:t>t</m:t>
              </m:r>
            </m:oMath>
          </w:p>
        </w:tc>
        <w:tc>
          <w:tcPr>
            <w:tcW w:type="dxa" w:w="2353"/>
            <w:vAlign w:val="center"/>
          </w:tcPr>
          <w:p>
            <w:pPr>
              <w:spacing w:line="240" w:lineRule="auto"/>
              <w:ind w:firstLine="0"/>
              <w:jc w:val="left"/>
            </w:pPr>
            <w:r>
              <w:rPr>
                <w:rFonts w:ascii="宋体" w:hAnsi="宋体" w:eastAsia="宋体"/>
                <w:sz w:val="17"/>
              </w:rPr>
              <w:t>10 分钟时段索引</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m:oMath>
              <m:r>
                <m:t>1,…,144</m:t>
              </m:r>
            </m:oMath>
          </w:p>
        </w:tc>
      </w:tr>
      <w:tr>
        <w:tc>
          <w:tcPr>
            <w:tcW w:type="dxa" w:w="2353"/>
            <w:vAlign w:val="center"/>
          </w:tcPr>
          <w:p>
            <w:pPr>
              <w:spacing w:line="240" w:lineRule="auto"/>
              <w:ind w:firstLine="0"/>
              <w:jc w:val="left"/>
            </w:pPr>
            <m:oMath>
              <m:r>
                <m:t>d</m:t>
              </m:r>
            </m:oMath>
          </w:p>
        </w:tc>
        <w:tc>
          <w:tcPr>
            <w:tcW w:type="dxa" w:w="2353"/>
            <w:vAlign w:val="center"/>
          </w:tcPr>
          <w:p>
            <w:pPr>
              <w:spacing w:line="240" w:lineRule="auto"/>
              <w:ind w:firstLine="0"/>
              <w:jc w:val="left"/>
            </w:pPr>
            <w:r>
              <w:rPr>
                <w:rFonts w:ascii="宋体" w:hAnsi="宋体" w:eastAsia="宋体"/>
                <w:sz w:val="17"/>
              </w:rPr>
              <w:t>日期索引</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2025-02-01 至 2025-12-31（334 天）</w:t>
            </w:r>
          </w:p>
        </w:tc>
      </w:tr>
      <w:tr>
        <w:tc>
          <w:tcPr>
            <w:tcW w:type="dxa" w:w="2353"/>
            <w:vAlign w:val="center"/>
          </w:tcPr>
          <w:p>
            <w:pPr>
              <w:spacing w:line="240" w:lineRule="auto"/>
              <w:ind w:firstLine="0"/>
              <w:jc w:val="left"/>
            </w:pPr>
            <m:oMath>
              <m:r>
                <m:t>Δt</m:t>
              </m:r>
            </m:oMath>
          </w:p>
        </w:tc>
        <w:tc>
          <w:tcPr>
            <w:tcW w:type="dxa" w:w="2353"/>
            <w:vAlign w:val="center"/>
          </w:tcPr>
          <w:p>
            <w:pPr>
              <w:spacing w:line="240" w:lineRule="auto"/>
              <w:ind w:firstLine="0"/>
              <w:jc w:val="left"/>
            </w:pPr>
            <w:r>
              <w:rPr>
                <w:rFonts w:ascii="宋体" w:hAnsi="宋体" w:eastAsia="宋体"/>
                <w:sz w:val="17"/>
              </w:rPr>
              <w:t>时段长度</w:t>
            </w:r>
          </w:p>
        </w:tc>
        <w:tc>
          <w:tcPr>
            <w:tcW w:type="dxa" w:w="2353"/>
            <w:vAlign w:val="center"/>
          </w:tcPr>
          <w:p>
            <w:pPr>
              <w:spacing w:line="240" w:lineRule="auto"/>
              <w:ind w:firstLine="0"/>
              <w:jc w:val="left"/>
            </w:pPr>
            <w:r>
              <w:rPr>
                <w:rFonts w:ascii="宋体" w:hAnsi="宋体" w:eastAsia="宋体"/>
                <w:sz w:val="17"/>
              </w:rPr>
              <w:t>h</w:t>
            </w:r>
          </w:p>
        </w:tc>
        <w:tc>
          <w:tcPr>
            <w:tcW w:type="dxa" w:w="2353"/>
            <w:vAlign w:val="center"/>
          </w:tcPr>
          <w:p>
            <w:pPr>
              <w:spacing w:line="240" w:lineRule="auto"/>
              <w:ind w:firstLine="0"/>
              <w:jc w:val="left"/>
            </w:pPr>
            <m:oMath>
              <m:f>
                <m:fPr>
                  <m:type m:val="lin"/>
                </m:fPr>
                <m:num>
                  <m:r>
                    <m:t>10</m:t>
                  </m:r>
                </m:num>
                <m:den>
                  <m:r>
                    <m:t>60</m:t>
                  </m:r>
                </m:den>
              </m:f>
            </m:oMath>
          </w:p>
        </w:tc>
      </w:tr>
      <w:tr>
        <w:tc>
          <w:tcPr>
            <w:tcW w:type="dxa" w:w="2353"/>
            <w:vAlign w:val="center"/>
          </w:tcPr>
          <w:p>
            <w:pPr>
              <w:spacing w:line="240" w:lineRule="auto"/>
              <w:ind w:firstLine="0"/>
              <w:jc w:val="left"/>
            </w:pPr>
            <m:oMath>
              <m:sSub>
                <m:e>
                  <m:r>
                    <m:t>L</m:t>
                  </m:r>
                </m:e>
                <m:sub>
                  <m:r>
                    <m:t>d,t</m:t>
                  </m:r>
                </m:sub>
              </m:sSub>
              <m:r>
                <m:t>,</m:t>
              </m:r>
              <m:r>
                <m:rPr>
                  <m:sty m:val="p"/>
                </m:rPr>
                <m:t> </m:t>
              </m:r>
              <m:sSub>
                <m:e>
                  <m:acc>
                    <m:accPr>
                      <m:chr m:val="̂"/>
                    </m:accPr>
                    <m:e>
                      <m:r>
                        <m:t>L</m:t>
                      </m:r>
                    </m:e>
                  </m:acc>
                </m:e>
                <m:sub>
                  <m:r>
                    <m:t>d,t</m:t>
                  </m:r>
                </m:sub>
              </m:sSub>
              <m:r>
                <m:t>,</m:t>
              </m:r>
              <m:r>
                <m:rPr>
                  <m:sty m:val="p"/>
                </m:rPr>
                <m:t> </m:t>
              </m:r>
              <m:sSubSup>
                <m:e>
                  <m:r>
                    <m:t>L</m:t>
                  </m:r>
                </m:e>
                <m:sub>
                  <m:r>
                    <m:t>d,t</m:t>
                  </m:r>
                </m:sub>
                <m:sup>
                  <m:r>
                    <m:t>ω</m:t>
                  </m:r>
                </m:sup>
              </m:sSubSup>
            </m:oMath>
          </w:p>
        </w:tc>
        <w:tc>
          <w:tcPr>
            <w:tcW w:type="dxa" w:w="2353"/>
            <w:vAlign w:val="center"/>
          </w:tcPr>
          <w:p>
            <w:pPr>
              <w:spacing w:line="240" w:lineRule="auto"/>
              <w:ind w:firstLine="0"/>
              <w:jc w:val="left"/>
            </w:pPr>
            <w:r>
              <w:rPr>
                <w:rFonts w:ascii="宋体" w:hAnsi="宋体" w:eastAsia="宋体"/>
                <w:sz w:val="17"/>
              </w:rPr>
              <w:t>实际、预测、场景负载电量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 xml:space="preserve">单段实际 </w:t>
            </w:r>
            <m:oMath>
              <m:r>
                <m:t>332.6~1329.8</m:t>
              </m:r>
            </m:oMath>
          </w:p>
        </w:tc>
      </w:tr>
      <w:tr>
        <w:tc>
          <w:tcPr>
            <w:tcW w:type="dxa" w:w="2353"/>
            <w:vAlign w:val="center"/>
          </w:tcPr>
          <w:p>
            <w:pPr>
              <w:spacing w:line="240" w:lineRule="auto"/>
              <w:ind w:firstLine="0"/>
              <w:jc w:val="left"/>
            </w:pPr>
            <m:oMath>
              <m:sSub>
                <m:e>
                  <m:r>
                    <m:t>G</m:t>
                  </m:r>
                </m:e>
                <m:sub>
                  <m:r>
                    <m:t>d,t</m:t>
                  </m:r>
                </m:sub>
              </m:sSub>
              <m:r>
                <m:t>,</m:t>
              </m:r>
              <m:r>
                <m:rPr>
                  <m:sty m:val="p"/>
                </m:rPr>
                <m:t> </m:t>
              </m:r>
              <m:sSub>
                <m:e>
                  <m:acc>
                    <m:accPr>
                      <m:chr m:val="̂"/>
                    </m:accPr>
                    <m:e>
                      <m:r>
                        <m:t>G</m:t>
                      </m:r>
                    </m:e>
                  </m:acc>
                </m:e>
                <m:sub>
                  <m:r>
                    <m:t>d,t</m:t>
                  </m:r>
                </m:sub>
              </m:sSub>
              <m:r>
                <m:t>,</m:t>
              </m:r>
              <m:r>
                <m:rPr>
                  <m:sty m:val="p"/>
                </m:rPr>
                <m:t> </m:t>
              </m:r>
              <m:sSubSup>
                <m:e>
                  <m:r>
                    <m:t>G</m:t>
                  </m:r>
                </m:e>
                <m:sub>
                  <m:r>
                    <m:t>d,t</m:t>
                  </m:r>
                </m:sub>
                <m:sup>
                  <m:r>
                    <m:t>ω</m:t>
                  </m:r>
                </m:sup>
              </m:sSubSup>
            </m:oMath>
          </w:p>
        </w:tc>
        <w:tc>
          <w:tcPr>
            <w:tcW w:type="dxa" w:w="2353"/>
            <w:vAlign w:val="center"/>
          </w:tcPr>
          <w:p>
            <w:pPr>
              <w:spacing w:line="240" w:lineRule="auto"/>
              <w:ind w:firstLine="0"/>
              <w:jc w:val="left"/>
            </w:pPr>
            <w:r>
              <w:rPr>
                <w:rFonts w:ascii="宋体" w:hAnsi="宋体" w:eastAsia="宋体"/>
                <w:sz w:val="17"/>
              </w:rPr>
              <w:t>实际、预测、场景光伏电量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 xml:space="preserve">单段实际 </w:t>
            </w:r>
            <m:oMath>
              <m:r>
                <m:t>0~1702.7</m:t>
              </m:r>
            </m:oMath>
          </w:p>
        </w:tc>
      </w:tr>
      <w:tr>
        <w:tc>
          <w:tcPr>
            <w:tcW w:type="dxa" w:w="2353"/>
            <w:vAlign w:val="center"/>
          </w:tcPr>
          <w:p>
            <w:pPr>
              <w:spacing w:line="240" w:lineRule="auto"/>
              <w:ind w:firstLine="0"/>
              <w:jc w:val="left"/>
            </w:pPr>
            <m:oMath>
              <m:sSub>
                <m:e>
                  <m:r>
                    <m:t>p</m:t>
                  </m:r>
                </m:e>
                <m:sub>
                  <m:r>
                    <m:t>d,t</m:t>
                  </m:r>
                </m:sub>
              </m:sSub>
              <m:r>
                <m:t>,</m:t>
              </m:r>
              <m:r>
                <m:rPr>
                  <m:sty m:val="p"/>
                </m:rPr>
                <m:t> </m:t>
              </m:r>
              <m:sSub>
                <m:e>
                  <m:acc>
                    <m:accPr>
                      <m:chr m:val="̂"/>
                    </m:accPr>
                    <m:e>
                      <m:r>
                        <m:t>p</m:t>
                      </m:r>
                    </m:e>
                  </m:acc>
                </m:e>
                <m:sub>
                  <m:r>
                    <m:t>d,t</m:t>
                  </m:r>
                </m:sub>
              </m:sSub>
              <m:r>
                <m:t>,</m:t>
              </m:r>
              <m:r>
                <m:rPr>
                  <m:sty m:val="p"/>
                </m:rPr>
                <m:t> </m:t>
              </m:r>
              <m:sSubSup>
                <m:e>
                  <m:r>
                    <m:t>p</m:t>
                  </m:r>
                </m:e>
                <m:sub>
                  <m:r>
                    <m:t>d,t</m:t>
                  </m:r>
                </m:sub>
                <m:sup>
                  <m:r>
                    <m:t>ω</m:t>
                  </m:r>
                </m:sup>
              </m:sSubSup>
            </m:oMath>
          </w:p>
        </w:tc>
        <w:tc>
          <w:tcPr>
            <w:tcW w:type="dxa" w:w="2353"/>
            <w:vAlign w:val="center"/>
          </w:tcPr>
          <w:p>
            <w:pPr>
              <w:spacing w:line="240" w:lineRule="auto"/>
              <w:ind w:firstLine="0"/>
              <w:jc w:val="left"/>
            </w:pPr>
            <w:r>
              <w:rPr>
                <w:rFonts w:ascii="宋体" w:hAnsi="宋体" w:eastAsia="宋体"/>
                <w:sz w:val="17"/>
              </w:rPr>
              <w:t>实际、预测、场景电价</w:t>
            </w:r>
          </w:p>
        </w:tc>
        <w:tc>
          <w:tcPr>
            <w:tcW w:type="dxa" w:w="2353"/>
            <w:vAlign w:val="center"/>
          </w:tcPr>
          <w:p>
            <w:pPr>
              <w:spacing w:line="240" w:lineRule="auto"/>
              <w:ind w:firstLine="0"/>
              <w:jc w:val="left"/>
            </w:pPr>
            <w:r>
              <w:rPr>
                <w:rFonts w:ascii="宋体" w:hAnsi="宋体" w:eastAsia="宋体"/>
                <w:sz w:val="17"/>
              </w:rPr>
              <w:t>元/kWh</w:t>
            </w:r>
          </w:p>
        </w:tc>
        <w:tc>
          <w:tcPr>
            <w:tcW w:type="dxa" w:w="2353"/>
            <w:vAlign w:val="center"/>
          </w:tcPr>
          <w:p>
            <w:pPr>
              <w:spacing w:line="240" w:lineRule="auto"/>
              <w:ind w:firstLine="0"/>
              <w:jc w:val="left"/>
            </w:pPr>
            <w:r>
              <w:rPr>
                <w:rFonts w:ascii="宋体" w:hAnsi="宋体" w:eastAsia="宋体"/>
                <w:sz w:val="17"/>
              </w:rPr>
              <w:t xml:space="preserve">固定价可简写为 </w:t>
            </w:r>
            <m:oMath>
              <m:sSub>
                <m:e>
                  <m:r>
                    <m:t>p</m:t>
                  </m:r>
                </m:e>
                <m:sub>
                  <m:r>
                    <m:t>t</m:t>
                  </m:r>
                </m:sub>
              </m:sSub>
            </m:oMath>
          </w:p>
        </w:tc>
      </w:tr>
      <w:tr>
        <w:tc>
          <w:tcPr>
            <w:tcW w:type="dxa" w:w="2353"/>
            <w:vAlign w:val="center"/>
          </w:tcPr>
          <w:p>
            <w:pPr>
              <w:spacing w:line="240" w:lineRule="auto"/>
              <w:ind w:firstLine="0"/>
              <w:jc w:val="left"/>
            </w:pPr>
            <m:oMath>
              <m:sSub>
                <m:e>
                  <m:r>
                    <m:t>n</m:t>
                  </m:r>
                </m:e>
                <m:sub>
                  <m:r>
                    <m:t>d,t</m:t>
                  </m:r>
                </m:sub>
              </m:sSub>
            </m:oMath>
          </w:p>
        </w:tc>
        <w:tc>
          <w:tcPr>
            <w:tcW w:type="dxa" w:w="2353"/>
            <w:vAlign w:val="center"/>
          </w:tcPr>
          <w:p>
            <w:pPr>
              <w:spacing w:line="240" w:lineRule="auto"/>
              <w:ind w:firstLine="0"/>
              <w:jc w:val="left"/>
            </w:pPr>
            <w:r>
              <w:rPr>
                <w:rFonts w:ascii="宋体" w:hAnsi="宋体" w:eastAsia="宋体"/>
                <w:sz w:val="17"/>
              </w:rPr>
              <w:t xml:space="preserve">实际净需求 </w:t>
            </w:r>
            <m:oMath>
              <m:sSub>
                <m:e>
                  <m:r>
                    <m:t>L</m:t>
                  </m:r>
                </m:e>
                <m:sub>
                  <m:r>
                    <m:t>d,t</m:t>
                  </m:r>
                </m:sub>
              </m:sSub>
              <m:r>
                <m:t>−</m:t>
              </m:r>
              <m:sSub>
                <m:e>
                  <m:r>
                    <m:t>G</m:t>
                  </m:r>
                </m:e>
                <m:sub>
                  <m:r>
                    <m:t>d,t</m:t>
                  </m:r>
                </m:sub>
              </m:sSub>
            </m:oMath>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可正可负</w:t>
            </w:r>
          </w:p>
        </w:tc>
      </w:tr>
      <w:tr>
        <w:tc>
          <w:tcPr>
            <w:tcW w:type="dxa" w:w="2353"/>
            <w:vAlign w:val="center"/>
          </w:tcPr>
          <w:p>
            <w:pPr>
              <w:spacing w:line="240" w:lineRule="auto"/>
              <w:ind w:firstLine="0"/>
              <w:jc w:val="left"/>
            </w:pPr>
            <m:oMath>
              <m:sSub>
                <m:e>
                  <m:r>
                    <m:t>x</m:t>
                  </m:r>
                </m:e>
                <m:sub>
                  <m:r>
                    <m:t>d,t</m:t>
                  </m:r>
                </m:sub>
              </m:sSub>
            </m:oMath>
          </w:p>
        </w:tc>
        <w:tc>
          <w:tcPr>
            <w:tcW w:type="dxa" w:w="2353"/>
            <w:vAlign w:val="center"/>
          </w:tcPr>
          <w:p>
            <w:pPr>
              <w:spacing w:line="240" w:lineRule="auto"/>
              <w:ind w:firstLine="0"/>
              <w:jc w:val="left"/>
            </w:pPr>
            <w:r>
              <w:rPr>
                <w:rFonts w:ascii="宋体" w:hAnsi="宋体" w:eastAsia="宋体"/>
                <w:sz w:val="17"/>
              </w:rPr>
              <w:t>计划购电量（第一阶段决策）</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a</m:t>
                  </m:r>
                </m:e>
                <m:sub>
                  <m:r>
                    <m:t>d,t</m:t>
                  </m:r>
                </m:sub>
              </m:sSub>
              <m:r>
                <m:t>,</m:t>
              </m:r>
              <m:r>
                <m:rPr>
                  <m:sty m:val="p"/>
                </m:rPr>
                <m:t> </m:t>
              </m:r>
              <m:sSub>
                <m:e>
                  <m:r>
                    <m:t>b</m:t>
                  </m:r>
                </m:e>
                <m:sub>
                  <m:r>
                    <m:t>d,t</m:t>
                  </m:r>
                </m:sub>
              </m:sSub>
            </m:oMath>
          </w:p>
        </w:tc>
        <w:tc>
          <w:tcPr>
            <w:tcW w:type="dxa" w:w="2353"/>
            <w:vAlign w:val="center"/>
          </w:tcPr>
          <w:p>
            <w:pPr>
              <w:spacing w:line="240" w:lineRule="auto"/>
              <w:ind w:firstLine="0"/>
              <w:jc w:val="left"/>
            </w:pPr>
            <w:r>
              <w:rPr>
                <w:rFonts w:ascii="宋体" w:hAnsi="宋体" w:eastAsia="宋体"/>
                <w:sz w:val="17"/>
              </w:rPr>
              <w:t>调整后购电量、0:00 原始计划</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Sup>
                <m:e>
                  <m:r>
                    <m:t>d</m:t>
                  </m:r>
                </m:e>
                <m:sub>
                  <m:r>
                    <m:t>t</m:t>
                  </m:r>
                </m:sub>
                <m:sup>
                  <m:r>
                    <m:t>+</m:t>
                  </m:r>
                </m:sup>
              </m:sSubSup>
              <m:r>
                <m:t>,</m:t>
              </m:r>
              <m:r>
                <m:rPr>
                  <m:sty m:val="p"/>
                </m:rPr>
                <m:t> </m:t>
              </m:r>
              <m:sSubSup>
                <m:e>
                  <m:r>
                    <m:t>d</m:t>
                  </m:r>
                </m:e>
                <m:sub>
                  <m:r>
                    <m:t>t</m:t>
                  </m:r>
                </m:sub>
                <m:sup>
                  <m:r>
                    <m:t>−</m:t>
                  </m:r>
                </m:sup>
              </m:sSubSup>
            </m:oMath>
          </w:p>
        </w:tc>
        <w:tc>
          <w:tcPr>
            <w:tcW w:type="dxa" w:w="2353"/>
            <w:vAlign w:val="center"/>
          </w:tcPr>
          <w:p>
            <w:pPr>
              <w:spacing w:line="240" w:lineRule="auto"/>
              <w:ind w:firstLine="0"/>
              <w:jc w:val="left"/>
            </w:pPr>
            <w:r>
              <w:rPr>
                <w:rFonts w:ascii="宋体" w:hAnsi="宋体" w:eastAsia="宋体"/>
                <w:sz w:val="17"/>
              </w:rPr>
              <w:t>调整量的上调、下调偏差部分</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u</m:t>
                  </m:r>
                </m:e>
                <m:sub>
                  <m:r>
                    <m:t>d,t</m:t>
                  </m:r>
                </m:sub>
              </m:sSub>
            </m:oMath>
          </w:p>
        </w:tc>
        <w:tc>
          <w:tcPr>
            <w:tcW w:type="dxa" w:w="2353"/>
            <w:vAlign w:val="center"/>
          </w:tcPr>
          <w:p>
            <w:pPr>
              <w:spacing w:line="240" w:lineRule="auto"/>
              <w:ind w:firstLine="0"/>
              <w:jc w:val="left"/>
            </w:pPr>
            <w:r>
              <w:rPr>
                <w:rFonts w:ascii="宋体" w:hAnsi="宋体" w:eastAsia="宋体"/>
                <w:sz w:val="17"/>
              </w:rPr>
              <w:t>紧急购电量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q</m:t>
                  </m:r>
                </m:e>
                <m:sub>
                  <m:r>
                    <m:t>d,t</m:t>
                  </m:r>
                </m:sub>
              </m:sSub>
            </m:oMath>
          </w:p>
        </w:tc>
        <w:tc>
          <w:tcPr>
            <w:tcW w:type="dxa" w:w="2353"/>
            <w:vAlign w:val="center"/>
          </w:tcPr>
          <w:p>
            <w:pPr>
              <w:spacing w:line="240" w:lineRule="auto"/>
              <w:ind w:firstLine="0"/>
              <w:jc w:val="left"/>
            </w:pPr>
            <w:r>
              <w:rPr>
                <w:rFonts w:ascii="宋体" w:hAnsi="宋体" w:eastAsia="宋体"/>
                <w:sz w:val="17"/>
              </w:rPr>
              <w:t>弃光或弃电量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c</m:t>
                  </m:r>
                </m:e>
                <m:sub>
                  <m:r>
                    <m:t>t</m:t>
                  </m:r>
                </m:sub>
              </m:sSub>
              <m:r>
                <m:t>,</m:t>
              </m:r>
              <m:r>
                <m:rPr>
                  <m:sty m:val="p"/>
                </m:rPr>
                <m:t> </m:t>
              </m:r>
              <m:sSub>
                <m:e>
                  <m:r>
                    <m:t>s</m:t>
                  </m:r>
                </m:e>
                <m:sub>
                  <m:r>
                    <m:t>t</m:t>
                  </m:r>
                </m:sub>
              </m:sSub>
            </m:oMath>
          </w:p>
        </w:tc>
        <w:tc>
          <w:tcPr>
            <w:tcW w:type="dxa" w:w="2353"/>
            <w:vAlign w:val="center"/>
          </w:tcPr>
          <w:p>
            <w:pPr>
              <w:spacing w:line="240" w:lineRule="auto"/>
              <w:ind w:firstLine="0"/>
              <w:jc w:val="left"/>
            </w:pPr>
            <w:r>
              <w:rPr>
                <w:rFonts w:ascii="宋体" w:hAnsi="宋体" w:eastAsia="宋体"/>
                <w:sz w:val="17"/>
              </w:rPr>
              <w:t>充电量、放电量（交流侧）</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d>
                <m:dPr>
                  <m:begChr m:val="["/>
                  <m:sepChr m:val=","/>
                  <m:endChr m:val="]"/>
                </m:dPr>
                <m:e>
                  <m:r>
                    <m:t>0</m:t>
                  </m:r>
                </m:e>
                <m:e>
                  <m:r>
                    <m:rPr>
                      <m:sty m:val="p"/>
                    </m:rPr>
                    <m:t> </m:t>
                  </m:r>
                  <m:sSub>
                    <m:e>
                      <m:r>
                        <m:t>P</m:t>
                      </m:r>
                    </m:e>
                    <m:sub>
                      <m:r>
                        <m:t>max</m:t>
                      </m:r>
                    </m:sub>
                  </m:sSub>
                  <m:r>
                    <m:t>Δ</m:t>
                  </m:r>
                  <m:r>
                    <m:t>t</m:t>
                  </m:r>
                </m:e>
              </m:d>
            </m:oMath>
          </w:p>
        </w:tc>
      </w:tr>
      <w:tr>
        <w:tc>
          <w:tcPr>
            <w:tcW w:type="dxa" w:w="2353"/>
            <w:vAlign w:val="center"/>
          </w:tcPr>
          <w:p>
            <w:pPr>
              <w:spacing w:line="240" w:lineRule="auto"/>
              <w:ind w:firstLine="0"/>
              <w:jc w:val="left"/>
            </w:pPr>
            <m:oMath>
              <m:sSub>
                <m:e>
                  <m:r>
                    <m:t>E</m:t>
                  </m:r>
                </m:e>
                <m:sub>
                  <m:r>
                    <m:t>t</m:t>
                  </m:r>
                </m:sub>
              </m:sSub>
            </m:oMath>
          </w:p>
        </w:tc>
        <w:tc>
          <w:tcPr>
            <w:tcW w:type="dxa" w:w="2353"/>
            <w:vAlign w:val="center"/>
          </w:tcPr>
          <w:p>
            <w:pPr>
              <w:spacing w:line="240" w:lineRule="auto"/>
              <w:ind w:firstLine="0"/>
              <w:jc w:val="left"/>
            </w:pPr>
            <w:r>
              <w:rPr>
                <w:rFonts w:ascii="宋体" w:hAnsi="宋体" w:eastAsia="宋体"/>
                <w:sz w:val="17"/>
              </w:rPr>
              <w:t>时段末储电量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d>
                <m:dPr>
                  <m:begChr m:val="["/>
                  <m:sepChr m:val=","/>
                  <m:endChr m:val="]"/>
                </m:dPr>
                <m:e>
                  <m:r>
                    <m:t>1200</m:t>
                  </m:r>
                </m:e>
                <m:e>
                  <m:r>
                    <m:rPr>
                      <m:sty m:val="p"/>
                    </m:rPr>
                    <m:t> </m:t>
                  </m:r>
                  <m:r>
                    <m:t>10800</m:t>
                  </m:r>
                </m:e>
              </m:d>
            </m:oMath>
          </w:p>
        </w:tc>
      </w:tr>
      <w:tr>
        <w:tc>
          <w:tcPr>
            <w:tcW w:type="dxa" w:w="2353"/>
            <w:vAlign w:val="center"/>
          </w:tcPr>
          <w:p>
            <w:pPr>
              <w:spacing w:line="240" w:lineRule="auto"/>
              <w:ind w:firstLine="0"/>
              <w:jc w:val="left"/>
            </w:pPr>
            <m:oMath>
              <m:sSub>
                <m:e>
                  <m:r>
                    <m:t>E</m:t>
                  </m:r>
                </m:e>
                <m:sub>
                  <m:r>
                    <m:t>min</m:t>
                  </m:r>
                </m:sub>
              </m:sSub>
              <m:r>
                <m:t>,</m:t>
              </m:r>
              <m:r>
                <m:rPr>
                  <m:sty m:val="p"/>
                </m:rPr>
                <m:t> </m:t>
              </m:r>
              <m:sSub>
                <m:e>
                  <m:r>
                    <m:t>E</m:t>
                  </m:r>
                </m:e>
                <m:sub>
                  <m:r>
                    <m:t>max</m:t>
                  </m:r>
                </m:sub>
              </m:sSub>
            </m:oMath>
          </w:p>
        </w:tc>
        <w:tc>
          <w:tcPr>
            <w:tcW w:type="dxa" w:w="2353"/>
            <w:vAlign w:val="center"/>
          </w:tcPr>
          <w:p>
            <w:pPr>
              <w:spacing w:line="240" w:lineRule="auto"/>
              <w:ind w:firstLine="0"/>
              <w:jc w:val="left"/>
            </w:pPr>
            <w:r>
              <w:rPr>
                <w:rFonts w:ascii="宋体" w:hAnsi="宋体" w:eastAsia="宋体"/>
                <w:sz w:val="17"/>
              </w:rPr>
              <w:t>储电量运行下、上界</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1200 / 10800</w:t>
            </w:r>
          </w:p>
        </w:tc>
      </w:tr>
      <w:tr>
        <w:tc>
          <w:tcPr>
            <w:tcW w:type="dxa" w:w="2353"/>
            <w:vAlign w:val="center"/>
          </w:tcPr>
          <w:p>
            <w:pPr>
              <w:spacing w:line="240" w:lineRule="auto"/>
              <w:ind w:firstLine="0"/>
              <w:jc w:val="left"/>
            </w:pPr>
            <m:oMath>
              <m:sSub>
                <m:e>
                  <m:r>
                    <m:t>E</m:t>
                  </m:r>
                </m:e>
                <m:sub>
                  <m:r>
                    <m:rPr>
                      <m:sty m:val="p"/>
                    </m:rPr>
                    <m:t>init</m:t>
                  </m:r>
                </m:sub>
              </m:sSub>
              <m:r>
                <m:t>,</m:t>
              </m:r>
              <m:r>
                <m:rPr>
                  <m:sty m:val="p"/>
                </m:rPr>
                <m:t> </m:t>
              </m:r>
              <m:sSub>
                <m:e>
                  <m:r>
                    <m:t>E</m:t>
                  </m:r>
                </m:e>
                <m:sub>
                  <m:r>
                    <m:rPr>
                      <m:sty m:val="p"/>
                    </m:rPr>
                    <m:t>term</m:t>
                  </m:r>
                </m:sub>
              </m:sSub>
            </m:oMath>
          </w:p>
        </w:tc>
        <w:tc>
          <w:tcPr>
            <w:tcW w:type="dxa" w:w="2353"/>
            <w:vAlign w:val="center"/>
          </w:tcPr>
          <w:p>
            <w:pPr>
              <w:spacing w:line="240" w:lineRule="auto"/>
              <w:ind w:firstLine="0"/>
              <w:jc w:val="left"/>
            </w:pPr>
            <w:r>
              <w:rPr>
                <w:rFonts w:ascii="宋体" w:hAnsi="宋体" w:eastAsia="宋体"/>
                <w:sz w:val="17"/>
              </w:rPr>
              <w:t>全计算期初始、末期储电量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6000 / 6000</w:t>
            </w:r>
          </w:p>
        </w:tc>
      </w:tr>
      <w:tr>
        <w:tc>
          <w:tcPr>
            <w:tcW w:type="dxa" w:w="2353"/>
            <w:vAlign w:val="center"/>
          </w:tcPr>
          <w:p>
            <w:pPr>
              <w:spacing w:line="240" w:lineRule="auto"/>
              <w:ind w:firstLine="0"/>
              <w:jc w:val="left"/>
            </w:pPr>
            <m:oMath>
              <m:sSub>
                <m:e>
                  <m:r>
                    <m:t>P</m:t>
                  </m:r>
                </m:e>
                <m:sub>
                  <m:r>
                    <m:t>max</m:t>
                  </m:r>
                </m:sub>
              </m:sSub>
            </m:oMath>
          </w:p>
        </w:tc>
        <w:tc>
          <w:tcPr>
            <w:tcW w:type="dxa" w:w="2353"/>
            <w:vAlign w:val="center"/>
          </w:tcPr>
          <w:p>
            <w:pPr>
              <w:spacing w:line="240" w:lineRule="auto"/>
              <w:ind w:firstLine="0"/>
              <w:jc w:val="left"/>
            </w:pPr>
            <w:r>
              <w:rPr>
                <w:rFonts w:ascii="宋体" w:hAnsi="宋体" w:eastAsia="宋体"/>
                <w:sz w:val="17"/>
              </w:rPr>
              <w:t>最大充放电功率</w:t>
            </w:r>
          </w:p>
        </w:tc>
        <w:tc>
          <w:tcPr>
            <w:tcW w:type="dxa" w:w="2353"/>
            <w:vAlign w:val="center"/>
          </w:tcPr>
          <w:p>
            <w:pPr>
              <w:spacing w:line="240" w:lineRule="auto"/>
              <w:ind w:firstLine="0"/>
              <w:jc w:val="left"/>
            </w:pPr>
            <w:r>
              <w:rPr>
                <w:rFonts w:ascii="宋体" w:hAnsi="宋体" w:eastAsia="宋体"/>
                <w:sz w:val="17"/>
              </w:rPr>
              <w:t>kW</w:t>
            </w:r>
          </w:p>
        </w:tc>
        <w:tc>
          <w:tcPr>
            <w:tcW w:type="dxa" w:w="2353"/>
            <w:vAlign w:val="center"/>
          </w:tcPr>
          <w:p>
            <w:pPr>
              <w:spacing w:line="240" w:lineRule="auto"/>
              <w:ind w:firstLine="0"/>
              <w:jc w:val="left"/>
            </w:pPr>
            <w:r>
              <w:rPr>
                <w:rFonts w:ascii="宋体" w:hAnsi="宋体" w:eastAsia="宋体"/>
                <w:sz w:val="17"/>
              </w:rPr>
              <w:t>5000</w:t>
            </w:r>
          </w:p>
        </w:tc>
      </w:tr>
      <w:tr>
        <w:tc>
          <w:tcPr>
            <w:tcW w:type="dxa" w:w="2353"/>
            <w:vAlign w:val="center"/>
          </w:tcPr>
          <w:p>
            <w:pPr>
              <w:spacing w:line="240" w:lineRule="auto"/>
              <w:ind w:firstLine="0"/>
              <w:jc w:val="left"/>
            </w:pPr>
            <m:oMath>
              <m:sSub>
                <m:e>
                  <m:r>
                    <m:t>η</m:t>
                  </m:r>
                </m:e>
                <m:sub>
                  <m:r>
                    <m:t>c</m:t>
                  </m:r>
                </m:sub>
              </m:sSub>
              <m:r>
                <m:t>,</m:t>
              </m:r>
              <m:r>
                <m:rPr>
                  <m:sty m:val="p"/>
                </m:rPr>
                <m:t> </m:t>
              </m:r>
              <m:sSub>
                <m:e>
                  <m:r>
                    <m:t>η</m:t>
                  </m:r>
                </m:e>
                <m:sub>
                  <m:r>
                    <m:t>d</m:t>
                  </m:r>
                </m:sub>
              </m:sSub>
            </m:oMath>
          </w:p>
        </w:tc>
        <w:tc>
          <w:tcPr>
            <w:tcW w:type="dxa" w:w="2353"/>
            <w:vAlign w:val="center"/>
          </w:tcPr>
          <w:p>
            <w:pPr>
              <w:spacing w:line="240" w:lineRule="auto"/>
              <w:ind w:firstLine="0"/>
              <w:jc w:val="left"/>
            </w:pPr>
            <w:r>
              <w:rPr>
                <w:rFonts w:ascii="宋体" w:hAnsi="宋体" w:eastAsia="宋体"/>
                <w:sz w:val="17"/>
              </w:rPr>
              <w:t>充、放电效率</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0.9 / 0.9</w:t>
            </w:r>
          </w:p>
        </w:tc>
      </w:tr>
      <w:tr>
        <w:tc>
          <w:tcPr>
            <w:tcW w:type="dxa" w:w="2353"/>
            <w:vAlign w:val="center"/>
          </w:tcPr>
          <w:p>
            <w:pPr>
              <w:spacing w:line="240" w:lineRule="auto"/>
              <w:ind w:firstLine="0"/>
              <w:jc w:val="left"/>
            </w:pPr>
            <m:oMath>
              <m:r>
                <m:t>κ</m:t>
              </m:r>
            </m:oMath>
          </w:p>
        </w:tc>
        <w:tc>
          <w:tcPr>
            <w:tcW w:type="dxa" w:w="2353"/>
            <w:vAlign w:val="center"/>
          </w:tcPr>
          <w:p>
            <w:pPr>
              <w:spacing w:line="240" w:lineRule="auto"/>
              <w:ind w:firstLine="0"/>
              <w:jc w:val="left"/>
            </w:pPr>
            <w:r>
              <w:rPr>
                <w:rFonts w:ascii="宋体" w:hAnsi="宋体" w:eastAsia="宋体"/>
                <w:sz w:val="17"/>
              </w:rPr>
              <w:t>紧急购电电价倍数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5</w:t>
            </w:r>
          </w:p>
        </w:tc>
      </w:tr>
      <w:tr>
        <w:tc>
          <w:tcPr>
            <w:tcW w:type="dxa" w:w="2353"/>
            <w:vAlign w:val="center"/>
          </w:tcPr>
          <w:p>
            <w:pPr>
              <w:spacing w:line="240" w:lineRule="auto"/>
              <w:ind w:firstLine="0"/>
              <w:jc w:val="left"/>
            </w:pPr>
            <m:oMath>
              <m:sSup>
                <m:e>
                  <m:r>
                    <m:t>λ</m:t>
                  </m:r>
                </m:e>
                <m:sup>
                  <m:r>
                    <m:t>+</m:t>
                  </m:r>
                </m:sup>
              </m:sSup>
              <m:r>
                <m:t>,</m:t>
              </m:r>
              <m:r>
                <m:rPr>
                  <m:sty m:val="p"/>
                </m:rPr>
                <m:t> </m:t>
              </m:r>
              <m:sSup>
                <m:e>
                  <m:r>
                    <m:t>λ</m:t>
                  </m:r>
                </m:e>
                <m:sup>
                  <m:r>
                    <m:t>−</m:t>
                  </m:r>
                </m:sup>
              </m:sSup>
            </m:oMath>
          </w:p>
        </w:tc>
        <w:tc>
          <w:tcPr>
            <w:tcW w:type="dxa" w:w="2353"/>
            <w:vAlign w:val="center"/>
          </w:tcPr>
          <w:p>
            <w:pPr>
              <w:spacing w:line="240" w:lineRule="auto"/>
              <w:ind w:firstLine="0"/>
              <w:jc w:val="left"/>
            </w:pPr>
            <w:r>
              <w:rPr>
                <w:rFonts w:ascii="宋体" w:hAnsi="宋体" w:eastAsia="宋体"/>
                <w:sz w:val="17"/>
              </w:rPr>
              <w:t>上调超出、下调违约电价倍数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1.5 / 0.5</w:t>
            </w:r>
          </w:p>
        </w:tc>
      </w:tr>
      <w:tr>
        <w:tc>
          <w:tcPr>
            <w:tcW w:type="dxa" w:w="2353"/>
            <w:vAlign w:val="center"/>
          </w:tcPr>
          <w:p>
            <w:pPr>
              <w:spacing w:line="240" w:lineRule="auto"/>
              <w:ind w:firstLine="0"/>
              <w:jc w:val="left"/>
            </w:pPr>
            <m:oMath>
              <m:r>
                <m:t>r(d)</m:t>
              </m:r>
            </m:oMath>
          </w:p>
        </w:tc>
        <w:tc>
          <w:tcPr>
            <w:tcW w:type="dxa" w:w="2353"/>
            <w:vAlign w:val="center"/>
          </w:tcPr>
          <w:p>
            <w:pPr>
              <w:spacing w:line="240" w:lineRule="auto"/>
              <w:ind w:firstLine="0"/>
              <w:jc w:val="left"/>
            </w:pPr>
            <w:r>
              <w:rPr>
                <w:rFonts w:ascii="宋体" w:hAnsi="宋体" w:eastAsia="宋体"/>
                <w:sz w:val="17"/>
              </w:rPr>
              <w:t>日型（低载：周五/周六；高载：其余）</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m:oMath>
              <m:d>
                <m:dPr>
                  <m:begChr m:val="{"/>
                  <m:sepChr m:val=","/>
                  <m:endChr m:val="}"/>
                </m:dPr>
                <m:e>
                  <m:r>
                    <m:rPr>
                      <m:nor/>
                    </m:rPr>
                    <m:t>low</m:t>
                  </m:r>
                </m:e>
                <m:e>
                  <m:r>
                    <m:rPr>
                      <m:nor/>
                    </m:rPr>
                    <m:t>high</m:t>
                  </m:r>
                </m:e>
              </m:d>
            </m:oMath>
          </w:p>
        </w:tc>
      </w:tr>
      <w:tr>
        <w:tc>
          <w:tcPr>
            <w:tcW w:type="dxa" w:w="2353"/>
            <w:vAlign w:val="center"/>
          </w:tcPr>
          <w:p>
            <w:pPr>
              <w:spacing w:line="240" w:lineRule="auto"/>
              <w:ind w:firstLine="0"/>
              <w:jc w:val="left"/>
            </w:pPr>
            <m:oMath>
              <m:r>
                <m:t>W,</m:t>
              </m:r>
              <m:r>
                <m:rPr>
                  <m:sty m:val="p"/>
                </m:rPr>
                <m:t> </m:t>
              </m:r>
              <m:r>
                <m:t>K</m:t>
              </m:r>
            </m:oMath>
          </w:p>
        </w:tc>
        <w:tc>
          <w:tcPr>
            <w:tcW w:type="dxa" w:w="2353"/>
            <w:vAlign w:val="center"/>
          </w:tcPr>
          <w:p>
            <w:pPr>
              <w:spacing w:line="240" w:lineRule="auto"/>
              <w:ind w:firstLine="0"/>
              <w:jc w:val="left"/>
            </w:pPr>
            <w:r>
              <w:rPr>
                <w:rFonts w:ascii="宋体" w:hAnsi="宋体" w:eastAsia="宋体"/>
                <w:sz w:val="17"/>
              </w:rPr>
              <w:t>预测窗口天数、随机情景数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4 / 8</w:t>
            </w:r>
          </w:p>
        </w:tc>
      </w:tr>
      <w:tr>
        <w:tc>
          <w:tcPr>
            <w:tcW w:type="dxa" w:w="2353"/>
            <w:vAlign w:val="center"/>
          </w:tcPr>
          <w:p>
            <w:pPr>
              <w:spacing w:line="240" w:lineRule="auto"/>
              <w:ind w:firstLine="0"/>
              <w:jc w:val="left"/>
            </w:pPr>
            <m:oMath>
              <m:r>
                <m:t>ℋ,</m:t>
              </m:r>
              <m:r>
                <m:rPr>
                  <m:sty m:val="p"/>
                </m:rPr>
                <m:t> </m:t>
              </m:r>
              <m:r>
                <m:t>τ(h)</m:t>
              </m:r>
            </m:oMath>
          </w:p>
        </w:tc>
        <w:tc>
          <w:tcPr>
            <w:tcW w:type="dxa" w:w="2353"/>
            <w:vAlign w:val="center"/>
          </w:tcPr>
          <w:p>
            <w:pPr>
              <w:spacing w:line="240" w:lineRule="auto"/>
              <w:ind w:firstLine="0"/>
              <w:jc w:val="left"/>
            </w:pPr>
            <w:r>
              <w:rPr>
                <w:rFonts w:ascii="宋体" w:hAnsi="宋体" w:eastAsia="宋体"/>
                <w:sz w:val="17"/>
              </w:rPr>
              <w:t xml:space="preserve">决策时刻集合、时刻 </w:t>
            </w:r>
            <m:oMath>
              <m:r>
                <m:t>h</m:t>
              </m:r>
            </m:oMath>
            <w:r>
              <w:rPr>
                <w:rFonts w:ascii="宋体" w:hAnsi="宋体" w:eastAsia="宋体"/>
                <w:sz w:val="17"/>
              </w:rPr>
              <w:t xml:space="preserve"> 已过时段数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m:oMath>
              <m:d>
                <m:dPr>
                  <m:begChr m:val="{"/>
                  <m:sepChr m:val=","/>
                  <m:endChr m:val="}"/>
                </m:dPr>
                <m:e>
                  <m:r>
                    <m:t>0</m:t>
                  </m:r>
                </m:e>
                <m:e>
                  <m:r>
                    <m:t>6</m:t>
                  </m:r>
                </m:e>
                <m:e>
                  <m:r>
                    <m:t>12</m:t>
                  </m:r>
                </m:e>
                <m:e>
                  <m:r>
                    <m:t>18</m:t>
                  </m:r>
                </m:e>
              </m:d>
            </m:oMath>
            <w:r>
              <w:rPr>
                <w:rFonts w:ascii="宋体" w:hAnsi="宋体" w:eastAsia="宋体"/>
                <w:sz w:val="17"/>
              </w:rPr>
              <w:t xml:space="preserve"> / </w:t>
            </w:r>
            <m:oMath>
              <m:r>
                <m:t>6h</m:t>
              </m:r>
            </m:oMath>
          </w:p>
        </w:tc>
      </w:tr>
    </w:tbl>
    <w:p>
      <w:pPr>
        <w:spacing w:after="0"/>
      </w:pPr>
    </w:p>
    <w:p>
      <w:pPr>
        <w:pStyle w:val="Heading1"/>
        <w:ind w:firstLine="0"/>
      </w:pPr>
      <w:r>
        <w:rPr>
          <w:rFonts w:ascii="黑体" w:hAnsi="黑体" w:eastAsia="黑体"/>
          <w:sz w:val="30"/>
        </w:rPr>
        <w:t>三、四问共用的储能—购电线性规划内核</w:t>
      </w:r>
    </w:p>
    <w:p>
      <w:pPr/>
      <w:r>
        <w:rPr>
          <w:rFonts w:ascii="宋体" w:hAnsi="宋体" w:eastAsia="宋体"/>
          <w:sz w:val="21"/>
        </w:rPr>
        <w:t>四个子问题面对同一套物理设备，因而共享同一组决策量、状态量与储能约束，差别只落在"信息何时可用"与"偏差如何计费"上。本章先建立这一公共内核，后续各问只描述其增量，避免整套模型的重复粘贴。全文的技术路线如图 1 所示。</w:t>
      </w:r>
    </w:p>
    <w:p>
      <w:pPr>
        <w:keepNext w:val="1"/>
        <w:ind w:firstLine="0"/>
        <w:jc w:val="center"/>
      </w:pPr>
      <w:r>
        <w:drawing>
          <wp:inline xmlns:a="http://schemas.openxmlformats.org/drawingml/2006/main" xmlns:pic="http://schemas.openxmlformats.org/drawingml/2006/picture">
            <wp:extent cx="5400000" cy="2737500"/>
            <wp:docPr id="1" name="Picture 1" descr="统一线性规划内核支撑四个递进子问题"/>
            <wp:cNvGraphicFramePr>
              <a:graphicFrameLocks noChangeAspect="1"/>
            </wp:cNvGraphicFramePr>
            <a:graphic>
              <a:graphicData uri="http://schemas.openxmlformats.org/drawingml/2006/picture">
                <pic:pic>
                  <pic:nvPicPr>
                    <pic:cNvPr id="0" name="fig_roadmap.png"/>
                    <pic:cNvPicPr/>
                  </pic:nvPicPr>
                  <pic:blipFill>
                    <a:blip r:embed="rId11"/>
                    <a:stretch>
                      <a:fillRect/>
                    </a:stretch>
                  </pic:blipFill>
                  <pic:spPr>
                    <a:xfrm>
                      <a:off x="0" y="0"/>
                      <a:ext cx="5400000" cy="2737500"/>
                    </a:xfrm>
                    <a:prstGeom prst="rect"/>
                  </pic:spPr>
                </pic:pic>
              </a:graphicData>
            </a:graphic>
          </wp:inline>
        </w:drawing>
      </w:r>
    </w:p>
    <w:p>
      <w:pPr>
        <w:pStyle w:val="Caption"/>
        <w:spacing w:after="100"/>
        <w:ind w:firstLine="0"/>
        <w:jc w:val="center"/>
      </w:pPr>
      <w:r>
        <w:rPr>
          <w:rFonts w:ascii="宋体" w:hAnsi="宋体" w:eastAsia="宋体"/>
          <w:sz w:val="18"/>
        </w:rPr>
        <w:t>图 1 全文技术路线</w:t>
      </w:r>
    </w:p>
    <w:p>
      <w:pPr/>
      <w:r>
        <w:rPr>
          <w:rFonts w:ascii="宋体" w:hAnsi="宋体" w:eastAsia="宋体"/>
          <w:sz w:val="21"/>
        </w:rPr>
        <w:t>图 1 按“可用信息—决策方法—输出与比较”组织四问。问题一使用典型日完整信息；问题二锁定日前购电计划，再按实际量因果执行；问题三用日内新预报重优化尚未发生的时段；问题四改变电价与信息设定。四条路径共用储能物理约束，但各自的计划器和费用口径不同，结果按对应基线分别比较。</w:t>
      </w:r>
    </w:p>
    <w:p>
      <w:pPr>
        <w:pStyle w:val="Heading2"/>
        <w:ind w:firstLine="0"/>
      </w:pPr>
      <w:r>
        <w:rPr>
          <w:rFonts w:ascii="黑体" w:hAnsi="黑体" w:eastAsia="黑体"/>
          <w:sz w:val="26"/>
        </w:rPr>
        <w:t>3.1 时段划分与功率-电量换算</w:t>
      </w:r>
    </w:p>
    <w:p>
      <w:pPr/>
      <w:r>
        <w:rPr>
          <w:rFonts w:ascii="宋体" w:hAnsi="宋体" w:eastAsia="宋体"/>
          <w:sz w:val="21"/>
        </w:rPr>
        <w:t xml:space="preserve">将一日划分为 </w:t>
      </w:r>
      <m:oMath>
        <m:r>
          <m:t>T=144</m:t>
        </m:r>
      </m:oMath>
      <w:r>
        <w:rPr>
          <w:rFonts w:ascii="宋体" w:hAnsi="宋体" w:eastAsia="宋体"/>
          <w:sz w:val="21"/>
        </w:rPr>
        <w:t xml:space="preserve"> 个等长时段，时段长 </w:t>
      </w:r>
      <m:oMath>
        <m:r>
          <m:t>Δt=10/60</m:t>
        </m:r>
      </m:oMath>
      <w:r>
        <w:rPr>
          <w:rFonts w:ascii="宋体" w:hAnsi="宋体" w:eastAsia="宋体"/>
          <w:sz w:val="21"/>
        </w:rPr>
        <w:t xml:space="preserve"> h，第 </w:t>
      </w:r>
      <m:oMath>
        <m:r>
          <m:t>t</m:t>
        </m:r>
      </m:oMath>
      <w:r>
        <w:rPr>
          <w:rFonts w:ascii="宋体" w:hAnsi="宋体" w:eastAsia="宋体"/>
          <w:sz w:val="21"/>
        </w:rPr>
        <w:t xml:space="preserve"> 段对应时刻区间 </w:t>
      </w:r>
      <m:oMath>
        <m:r>
          <m:t>[(t−1)Δt,</m:t>
        </m:r>
        <m:r>
          <m:rPr>
            <m:sty m:val="p"/>
          </m:rPr>
          <m:t> </m:t>
        </m:r>
        <m:r>
          <m:t>tΔt)</m:t>
        </m:r>
      </m:oMath>
      <w:r>
        <w:rPr>
          <w:rFonts w:ascii="宋体" w:hAnsi="宋体" w:eastAsia="宋体"/>
          <w:sz w:val="21"/>
        </w:rPr>
        <w:t xml:space="preserve">。所有功率量 </w:t>
      </w:r>
      <m:oMath>
        <m:r>
          <m:t>P</m:t>
        </m:r>
      </m:oMath>
      <w:r>
        <w:rPr>
          <w:rFonts w:ascii="宋体" w:hAnsi="宋体" w:eastAsia="宋体"/>
          <w:sz w:val="21"/>
        </w:rPr>
        <w:t xml:space="preserve"> 与对应电量 </w:t>
      </w:r>
      <m:oMath>
        <m:r>
          <m:t>e</m:t>
        </m:r>
      </m:oMath>
      <w:r>
        <w:rPr>
          <w:rFonts w:ascii="宋体" w:hAnsi="宋体" w:eastAsia="宋体"/>
          <w:sz w:val="21"/>
        </w:rPr>
        <w:t xml:space="preserve"> 之间统一按下式换算，这是全文避免“千瓦”与“千瓦时”混用的基准：</w:t>
      </w:r>
    </w:p>
    <w:p>
      <w:pPr>
        <w:keepLines/>
        <w:spacing w:before="80" w:after="80"/>
        <w:ind w:firstLine="0"/>
        <w:jc w:val="center"/>
      </w:pPr>
      <m:oMathPara>
        <m:oMath>
          <m:r>
            <m:t>e=P·Δt,</m:t>
          </m:r>
          <m:r>
            <m:t>Δt=</m:t>
          </m:r>
          <m:f>
            <m:fPr>
              <m:type m:val="bar"/>
            </m:fPr>
            <m:num>
              <m:r>
                <m:t>10</m:t>
              </m:r>
            </m:num>
            <m:den>
              <m:r>
                <m:t>60</m:t>
              </m:r>
            </m:den>
          </m:f>
          <m:r>
            <m:rPr>
              <m:sty m:val="p"/>
            </m:rPr>
            <m:t> h</m:t>
          </m:r>
        </m:oMath>
      </m:oMathPara>
      <w:r>
        <w:rPr>
          <w:rFonts w:ascii="Cambria Math" w:hAnsi="Cambria Math"/>
          <w:sz w:val="19"/>
        </w:rPr>
        <w:t xml:space="preserve">  (1)</w:t>
      </w:r>
    </w:p>
    <w:p>
      <w:pPr/>
      <w:r>
        <w:rPr>
          <w:rFonts w:ascii="宋体" w:hAnsi="宋体" w:eastAsia="宋体"/>
          <w:sz w:val="21"/>
        </w:rPr>
        <w:t xml:space="preserve">输入表中的负载与光伏功率先乘 </w:t>
      </w:r>
      <m:oMath>
        <m:r>
          <m:t>Δt</m:t>
        </m:r>
      </m:oMath>
      <w:r>
        <w:rPr>
          <w:rFonts w:ascii="宋体" w:hAnsi="宋体" w:eastAsia="宋体"/>
          <w:sz w:val="21"/>
        </w:rPr>
        <w:t xml:space="preserve"> 转为每段电量。决策量均以 kWh 表示：</w:t>
      </w:r>
      <m:oMath>
        <m:sSub>
          <m:e>
            <m:r>
              <m:t>x</m:t>
            </m:r>
          </m:e>
          <m:sub>
            <m:r>
              <m:t>t</m:t>
            </m:r>
          </m:sub>
        </m:sSub>
      </m:oMath>
      <w:r>
        <w:rPr>
          <w:rFonts w:ascii="宋体" w:hAnsi="宋体" w:eastAsia="宋体"/>
          <w:sz w:val="21"/>
        </w:rPr>
        <w:t xml:space="preserve"> 为计划购电量，</w:t>
      </w:r>
      <m:oMath>
        <m:sSub>
          <m:e>
            <m:r>
              <m:t>c</m:t>
            </m:r>
          </m:e>
          <m:sub>
            <m:r>
              <m:t>t</m:t>
            </m:r>
          </m:sub>
        </m:sSub>
      </m:oMath>
      <w:r>
        <w:rPr>
          <w:rFonts w:ascii="宋体" w:hAnsi="宋体" w:eastAsia="宋体"/>
          <w:sz w:val="21"/>
        </w:rPr>
        <w:t xml:space="preserve"> 为充电量，</w:t>
      </w:r>
      <m:oMath>
        <m:sSub>
          <m:e>
            <m:r>
              <m:t>s</m:t>
            </m:r>
          </m:e>
          <m:sub>
            <m:r>
              <m:t>t</m:t>
            </m:r>
          </m:sub>
        </m:sSub>
      </m:oMath>
      <w:r>
        <w:rPr>
          <w:rFonts w:ascii="宋体" w:hAnsi="宋体" w:eastAsia="宋体"/>
          <w:sz w:val="21"/>
        </w:rPr>
        <w:t xml:space="preserve"> 为放电量，</w:t>
      </w:r>
      <m:oMath>
        <m:sSub>
          <m:e>
            <m:r>
              <m:t>u</m:t>
            </m:r>
          </m:e>
          <m:sub>
            <m:r>
              <m:t>t</m:t>
            </m:r>
          </m:sub>
        </m:sSub>
      </m:oMath>
      <w:r>
        <w:rPr>
          <w:rFonts w:ascii="宋体" w:hAnsi="宋体" w:eastAsia="宋体"/>
          <w:sz w:val="21"/>
        </w:rPr>
        <w:t xml:space="preserve"> 为紧急购电量，</w:t>
      </w:r>
      <m:oMath>
        <m:sSub>
          <m:e>
            <m:r>
              <m:t>q</m:t>
            </m:r>
          </m:e>
          <m:sub>
            <m:r>
              <m:t>t</m:t>
            </m:r>
          </m:sub>
        </m:sSub>
      </m:oMath>
      <w:r>
        <w:rPr>
          <w:rFonts w:ascii="宋体" w:hAnsi="宋体" w:eastAsia="宋体"/>
          <w:sz w:val="21"/>
        </w:rPr>
        <w:t xml:space="preserve"> 为显式弃光或弃电量；状态量 </w:t>
      </w:r>
      <m:oMath>
        <m:sSub>
          <m:e>
            <m:r>
              <m:t>E</m:t>
            </m:r>
          </m:e>
          <m:sub>
            <m:r>
              <m:t>t</m:t>
            </m:r>
          </m:sub>
        </m:sSub>
      </m:oMath>
      <w:r>
        <w:rPr>
          <w:rFonts w:ascii="宋体" w:hAnsi="宋体" w:eastAsia="宋体"/>
          <w:sz w:val="21"/>
        </w:rPr>
        <w:t xml:space="preserve"> 为第 </w:t>
      </w:r>
      <m:oMath>
        <m:r>
          <m:t>t</m:t>
        </m:r>
      </m:oMath>
      <w:r>
        <w:rPr>
          <w:rFonts w:ascii="宋体" w:hAnsi="宋体" w:eastAsia="宋体"/>
          <w:sz w:val="21"/>
        </w:rPr>
        <w:t xml:space="preserve"> 段末储电量。代码同时核对 </w:t>
      </w:r>
      <m:oMath>
        <m:sSub>
          <m:e>
            <m:r>
              <m:t>c</m:t>
            </m:r>
          </m:e>
          <m:sub>
            <m:r>
              <m:t>t</m:t>
            </m:r>
          </m:sub>
        </m:sSub>
        <m:r>
          <m:t>/Δt</m:t>
        </m:r>
      </m:oMath>
      <w:r>
        <w:rPr>
          <w:rFonts w:ascii="宋体" w:hAnsi="宋体" w:eastAsia="宋体"/>
          <w:sz w:val="21"/>
        </w:rPr>
        <w:t xml:space="preserve"> 与 </w:t>
      </w:r>
      <m:oMath>
        <m:sSub>
          <m:e>
            <m:r>
              <m:t>s</m:t>
            </m:r>
          </m:e>
          <m:sub>
            <m:r>
              <m:t>t</m:t>
            </m:r>
          </m:sub>
        </m:sSub>
        <m:r>
          <m:t>/Δt</m:t>
        </m:r>
      </m:oMath>
      <w:r>
        <w:rPr>
          <w:rFonts w:ascii="宋体" w:hAnsi="宋体" w:eastAsia="宋体"/>
          <w:sz w:val="21"/>
        </w:rPr>
        <w:t xml:space="preserve"> 不超过 5000 kW。</w:t>
      </w:r>
    </w:p>
    <w:p>
      <w:pPr>
        <w:pStyle w:val="Heading2"/>
        <w:ind w:firstLine="0"/>
      </w:pPr>
      <w:r>
        <w:rPr>
          <w:rFonts w:ascii="黑体" w:hAnsi="黑体" w:eastAsia="黑体"/>
          <w:sz w:val="26"/>
        </w:rPr>
        <w:t>3.2 供需平衡与储能状态递推</w:t>
      </w:r>
    </w:p>
    <w:p>
      <w:pPr/>
      <w:r>
        <w:rPr>
          <w:rFonts w:ascii="宋体" w:hAnsi="宋体" w:eastAsia="宋体"/>
          <w:sz w:val="21"/>
        </w:rPr>
        <w:t xml:space="preserve">任一时段，外部购电、紧急购电、光伏发电与储能净放电按等式分配；富余量由 </w:t>
      </w:r>
      <m:oMath>
        <m:sSub>
          <m:e>
            <m:r>
              <m:t>q</m:t>
            </m:r>
          </m:e>
          <m:sub>
            <m:r>
              <m:t>t</m:t>
            </m:r>
          </m:sub>
        </m:sSub>
      </m:oMath>
      <w:r>
        <w:rPr>
          <w:rFonts w:ascii="宋体" w:hAnsi="宋体" w:eastAsia="宋体"/>
          <w:sz w:val="21"/>
        </w:rPr>
        <w:t xml:space="preserve"> 显式记录：</w:t>
      </w:r>
    </w:p>
    <w:p>
      <w:pPr>
        <w:keepLines/>
        <w:spacing w:before="80" w:after="80"/>
        <w:ind w:firstLine="0"/>
        <w:jc w:val="center"/>
      </w:pPr>
      <m:oMathPara>
        <m:oMath>
          <m:sSub>
            <m:e>
              <m:r>
                <m:t>x</m:t>
              </m:r>
            </m:e>
            <m:sub>
              <m:r>
                <m:t>t</m:t>
              </m:r>
            </m:sub>
          </m:sSub>
          <m:r>
            <m:t>+</m:t>
          </m:r>
          <m:sSub>
            <m:e>
              <m:r>
                <m:t>u</m:t>
              </m:r>
            </m:e>
            <m:sub>
              <m:r>
                <m:t>t</m:t>
              </m:r>
            </m:sub>
          </m:sSub>
          <m:r>
            <m:t>+</m:t>
          </m:r>
          <m:sSub>
            <m:e>
              <m:r>
                <m:t>G</m:t>
              </m:r>
            </m:e>
            <m:sub>
              <m:r>
                <m:t>t</m:t>
              </m:r>
            </m:sub>
          </m:sSub>
          <m:r>
            <m:t>+</m:t>
          </m:r>
          <m:sSub>
            <m:e>
              <m:r>
                <m:t>s</m:t>
              </m:r>
            </m:e>
            <m:sub>
              <m:r>
                <m:t>t</m:t>
              </m:r>
            </m:sub>
          </m:sSub>
          <m:r>
            <m:t>=</m:t>
          </m:r>
          <m:sSub>
            <m:e>
              <m:r>
                <m:t>L</m:t>
              </m:r>
            </m:e>
            <m:sub>
              <m:r>
                <m:t>t</m:t>
              </m:r>
            </m:sub>
          </m:sSub>
          <m:r>
            <m:t>+</m:t>
          </m:r>
          <m:sSub>
            <m:e>
              <m:r>
                <m:t>c</m:t>
              </m:r>
            </m:e>
            <m:sub>
              <m:r>
                <m:t>t</m:t>
              </m:r>
            </m:sub>
          </m:sSub>
          <m:r>
            <m:t>+</m:t>
          </m:r>
          <m:sSub>
            <m:e>
              <m:r>
                <m:t>q</m:t>
              </m:r>
            </m:e>
            <m:sub>
              <m:r>
                <m:t>t</m:t>
              </m:r>
            </m:sub>
          </m:sSub>
          <m:r>
            <m:t>,</m:t>
          </m:r>
          <m:r>
            <m:t>∀t</m:t>
          </m:r>
        </m:oMath>
      </m:oMathPara>
      <w:r>
        <w:rPr>
          <w:rFonts w:ascii="Cambria Math" w:hAnsi="Cambria Math"/>
          <w:sz w:val="19"/>
        </w:rPr>
        <w:t xml:space="preserve">  (2)</w:t>
      </w:r>
    </w:p>
    <w:p>
      <w:pPr/>
      <w:r>
        <w:rPr>
          <w:rFonts w:ascii="宋体" w:hAnsi="宋体" w:eastAsia="宋体"/>
          <w:sz w:val="21"/>
        </w:rPr>
        <w:t xml:space="preserve">其中问题一无紧急购电机制，令 </w:t>
      </w:r>
      <m:oMath>
        <m:sSub>
          <m:e>
            <m:r>
              <m:t>u</m:t>
            </m:r>
          </m:e>
          <m:sub>
            <m:r>
              <m:t>t</m:t>
            </m:r>
          </m:sub>
        </m:sSub>
        <m:r>
          <m:t>≡0</m:t>
        </m:r>
      </m:oMath>
      <w:r>
        <w:rPr>
          <w:rFonts w:ascii="宋体" w:hAnsi="宋体" w:eastAsia="宋体"/>
          <w:sz w:val="21"/>
        </w:rPr>
        <w:t>，式 (2) 退化为严格硬约束。储电量按下式递推，效率显式作用于单向：</w:t>
      </w:r>
    </w:p>
    <w:p>
      <w:pPr>
        <w:keepLines/>
        <w:spacing w:before="80" w:after="80"/>
        <w:ind w:firstLine="0"/>
        <w:jc w:val="center"/>
      </w:pPr>
      <m:oMathPara>
        <m:oMath>
          <m:sSub>
            <m:e>
              <m:r>
                <m:t>E</m:t>
              </m:r>
            </m:e>
            <m:sub>
              <m:r>
                <m:t>t</m:t>
              </m:r>
            </m:sub>
          </m:sSub>
          <m:r>
            <m:t>=</m:t>
          </m:r>
          <m:sSub>
            <m:e>
              <m:r>
                <m:t>E</m:t>
              </m:r>
            </m:e>
            <m:sub>
              <m:r>
                <m:t>t−1</m:t>
              </m:r>
            </m:sub>
          </m:sSub>
          <m:r>
            <m:t>+</m:t>
          </m:r>
          <m:sSub>
            <m:e>
              <m:r>
                <m:t>η</m:t>
              </m:r>
            </m:e>
            <m:sub>
              <m:r>
                <m:t>c</m:t>
              </m:r>
            </m:sub>
          </m:sSub>
          <m:sSub>
            <m:e>
              <m:r>
                <m:t>c</m:t>
              </m:r>
            </m:e>
            <m:sub>
              <m:r>
                <m:t>t</m:t>
              </m:r>
            </m:sub>
          </m:sSub>
          <m:r>
            <m:t>−</m:t>
          </m:r>
          <m:f>
            <m:fPr>
              <m:type m:val="bar"/>
            </m:fPr>
            <m:num>
              <m:sSub>
                <m:e>
                  <m:r>
                    <m:t>s</m:t>
                  </m:r>
                </m:e>
                <m:sub>
                  <m:r>
                    <m:t>t</m:t>
                  </m:r>
                </m:sub>
              </m:sSub>
            </m:num>
            <m:den>
              <m:sSub>
                <m:e>
                  <m:r>
                    <m:t>η</m:t>
                  </m:r>
                </m:e>
                <m:sub>
                  <m:r>
                    <m:t>d</m:t>
                  </m:r>
                </m:sub>
              </m:sSub>
            </m:den>
          </m:f>
          <m:r>
            <m:t>,</m:t>
          </m:r>
          <m:r>
            <m:t>∀t</m:t>
          </m:r>
        </m:oMath>
      </m:oMathPara>
      <w:r>
        <w:rPr>
          <w:rFonts w:ascii="Cambria Math" w:hAnsi="Cambria Math"/>
          <w:sz w:val="19"/>
        </w:rPr>
        <w:t xml:space="preserve">  (3)</w:t>
      </w:r>
    </w:p>
    <w:p>
      <w:pPr/>
      <w:r>
        <w:rPr>
          <w:rFonts w:ascii="宋体" w:hAnsi="宋体" w:eastAsia="宋体"/>
          <w:sz w:val="21"/>
        </w:rPr>
        <w:t xml:space="preserve">充电量 </w:t>
      </w:r>
      <m:oMath>
        <m:sSub>
          <m:e>
            <m:r>
              <m:t>c</m:t>
            </m:r>
          </m:e>
          <m:sub>
            <m:r>
              <m:t>t</m:t>
            </m:r>
          </m:sub>
        </m:sSub>
      </m:oMath>
      <w:r>
        <w:rPr>
          <w:rFonts w:ascii="宋体" w:hAnsi="宋体" w:eastAsia="宋体"/>
          <w:sz w:val="21"/>
        </w:rPr>
        <w:t xml:space="preserve"> 是从母线取用的交流侧电量，仅 </w:t>
      </w:r>
      <m:oMath>
        <m:sSub>
          <m:e>
            <m:r>
              <m:t>η</m:t>
            </m:r>
          </m:e>
          <m:sub>
            <m:r>
              <m:t>c</m:t>
            </m:r>
          </m:sub>
        </m:sSub>
        <m:sSub>
          <m:e>
            <m:r>
              <m:t>c</m:t>
            </m:r>
          </m:e>
          <m:sub>
            <m:r>
              <m:t>t</m:t>
            </m:r>
          </m:sub>
        </m:sSub>
      </m:oMath>
      <w:r>
        <w:rPr>
          <w:rFonts w:ascii="宋体" w:hAnsi="宋体" w:eastAsia="宋体"/>
          <w:sz w:val="21"/>
        </w:rPr>
        <w:t xml:space="preserve"> 进入储能；放电量 </w:t>
      </w:r>
      <m:oMath>
        <m:sSub>
          <m:e>
            <m:r>
              <m:t>s</m:t>
            </m:r>
          </m:e>
          <m:sub>
            <m:r>
              <m:t>t</m:t>
            </m:r>
          </m:sub>
        </m:sSub>
      </m:oMath>
      <w:r>
        <w:rPr>
          <w:rFonts w:ascii="宋体" w:hAnsi="宋体" w:eastAsia="宋体"/>
          <w:sz w:val="21"/>
        </w:rPr>
        <w:t xml:space="preserve"> 是送出母线的交流侧电量，需从储能取出 </w:t>
      </w:r>
      <m:oMath>
        <m:f>
          <m:fPr>
            <m:type m:val="lin"/>
          </m:fPr>
          <m:num>
            <m:sSub>
              <m:e>
                <m:r>
                  <m:t>s</m:t>
                </m:r>
              </m:e>
              <m:sub>
                <m:r>
                  <m:t>t</m:t>
                </m:r>
              </m:sub>
            </m:sSub>
          </m:num>
          <m:den>
            <m:sSub>
              <m:e>
                <m:r>
                  <m:t>η</m:t>
                </m:r>
              </m:e>
              <m:sub>
                <m:r>
                  <m:t>d</m:t>
                </m:r>
              </m:sub>
            </m:sSub>
          </m:den>
        </m:f>
      </m:oMath>
      <w:r>
        <w:rPr>
          <w:rFonts w:ascii="宋体" w:hAnsi="宋体" w:eastAsia="宋体"/>
          <w:sz w:val="21"/>
        </w:rPr>
        <w:t>。</w:t>
      </w:r>
      <w:r>
        <w:rPr>
          <w:rFonts w:ascii="黑体" w:hAnsi="黑体" w:eastAsia="黑体"/>
          <w:b/>
          <w:sz w:val="21"/>
        </w:rPr>
        <w:t>放电项是除以效率而非乘以效率</w:t>
      </w:r>
      <w:r>
        <w:rPr>
          <w:rFonts w:ascii="宋体" w:hAnsi="宋体" w:eastAsia="宋体"/>
          <w:sz w:val="21"/>
        </w:rPr>
        <w:t>，这是本模型最易出错处，也是往返 19% 损耗的来源。</w:t>
      </w:r>
    </w:p>
    <w:p>
      <w:pPr/>
      <w:r>
        <w:rPr>
          <w:rFonts w:ascii="Times New Roman" w:eastAsia="宋体"/>
          <w:sz w:val="22"/>
        </w:rPr>
        <w:t>图 2 把式 (2)–(3) 的变量对应到母线能量流。所有箭头标注均为单段电量；充放电按交流侧计量，效率在储能侧起作用。问题一令紧急购电为零，后续各问再按各自费用规则计入该项。</w:t>
      </w:r>
    </w:p>
    <w:p>
      <w:pPr>
        <w:keepNext w:val="1"/>
        <w:ind w:firstLine="0"/>
        <w:jc w:val="center"/>
      </w:pPr>
      <w:r>
        <w:drawing>
          <wp:inline xmlns:a="http://schemas.openxmlformats.org/drawingml/2006/main" xmlns:pic="http://schemas.openxmlformats.org/drawingml/2006/picture">
            <wp:extent cx="5400000" cy="2062500"/>
            <wp:docPr id="25" name="Picture 1" descr="交流母线收支与效率作用位置"/>
            <wp:cNvGraphicFramePr>
              <a:graphicFrameLocks noChangeAspect="1"/>
            </wp:cNvGraphicFramePr>
            <a:graphic>
              <a:graphicData uri="http://schemas.openxmlformats.org/drawingml/2006/picture">
                <pic:pic>
                  <pic:nvPicPr>
                    <pic:cNvPr id="0" name="fig_roadmap.png"/>
                    <pic:cNvPicPr/>
                  </pic:nvPicPr>
                  <pic:blipFill>
                    <a:blip r:embed="rIdRefresh2"/>
                    <a:stretch>
                      <a:fillRect/>
                    </a:stretch>
                  </pic:blipFill>
                  <pic:spPr>
                    <a:xfrm>
                      <a:off x="0" y="0"/>
                      <a:ext cx="5400000" cy="2062500"/>
                    </a:xfrm>
                    <a:prstGeom prst="rect"/>
                  </pic:spPr>
                </pic:pic>
              </a:graphicData>
            </a:graphic>
          </wp:inline>
        </w:drawing>
      </w:r>
    </w:p>
    <w:p>
      <w:pPr>
        <w:pStyle w:val="Caption"/>
        <w:spacing w:after="100"/>
        <w:ind w:firstLine="0"/>
        <w:jc w:val="center"/>
      </w:pPr>
      <w:r>
        <w:rPr>
          <w:rFonts w:ascii="Times New Roman" w:eastAsia="宋体"/>
          <w:sz w:val="20"/>
        </w:rPr>
        <w:t>图 2 母线能量流与储能效率</w:t>
      </w:r>
    </w:p>
    <w:p>
      <w:pPr>
        <w:pStyle w:val="Heading2"/>
        <w:ind w:firstLine="0"/>
      </w:pPr>
      <w:r>
        <w:rPr>
          <w:rFonts w:ascii="黑体" w:hAnsi="黑体" w:eastAsia="黑体"/>
          <w:sz w:val="26"/>
        </w:rPr>
        <w:t>3.3 储电量区间、功率上限与边界条件</w:t>
      </w:r>
    </w:p>
    <w:p>
      <w:pPr/>
      <w:r>
        <w:rPr>
          <w:rFonts w:ascii="宋体" w:hAnsi="宋体" w:eastAsia="宋体"/>
          <w:sz w:val="21"/>
        </w:rPr>
        <w:t>储电量必须落在比铭牌容量更紧的运行区间内，充放电电量受单段功率上限约束，二者共同限定储能的可用摆幅：</w:t>
      </w:r>
    </w:p>
    <w:p>
      <w:pPr>
        <w:keepLines/>
        <w:spacing w:before="80" w:after="80"/>
        <w:ind w:firstLine="0"/>
        <w:jc w:val="center"/>
      </w:pPr>
      <m:oMathPara>
        <m:oMath>
          <m:sSub>
            <m:e>
              <m:r>
                <m:t>E</m:t>
              </m:r>
            </m:e>
            <m:sub>
              <m:r>
                <m:t>min</m:t>
              </m:r>
            </m:sub>
          </m:sSub>
          <m:r>
            <m:t>≤</m:t>
          </m:r>
          <m:sSub>
            <m:e>
              <m:r>
                <m:t>E</m:t>
              </m:r>
            </m:e>
            <m:sub>
              <m:r>
                <m:t>t</m:t>
              </m:r>
            </m:sub>
          </m:sSub>
          <m:r>
            <m:t>≤</m:t>
          </m:r>
          <m:sSub>
            <m:e>
              <m:r>
                <m:t>E</m:t>
              </m:r>
            </m:e>
            <m:sub>
              <m:r>
                <m:t>max</m:t>
              </m:r>
            </m:sub>
          </m:sSub>
          <m:r>
            <m:t>,</m:t>
          </m:r>
          <m:r>
            <m:t>0≤</m:t>
          </m:r>
          <m:sSub>
            <m:e>
              <m:r>
                <m:t>c</m:t>
              </m:r>
            </m:e>
            <m:sub>
              <m:r>
                <m:t>t</m:t>
              </m:r>
            </m:sub>
          </m:sSub>
          <m:r>
            <m:t>,</m:t>
          </m:r>
          <m:r>
            <m:rPr>
              <m:sty m:val="p"/>
            </m:rPr>
            <m:t> </m:t>
          </m:r>
          <m:sSub>
            <m:e>
              <m:r>
                <m:t>s</m:t>
              </m:r>
            </m:e>
            <m:sub>
              <m:r>
                <m:t>t</m:t>
              </m:r>
            </m:sub>
          </m:sSub>
          <m:r>
            <m:t>≤</m:t>
          </m:r>
          <m:sSub>
            <m:e>
              <m:r>
                <m:t>P</m:t>
              </m:r>
            </m:e>
            <m:sub>
              <m:r>
                <m:t>max</m:t>
              </m:r>
            </m:sub>
          </m:sSub>
          <m:r>
            <m:t>Δt</m:t>
          </m:r>
        </m:oMath>
      </m:oMathPara>
      <w:r>
        <w:rPr>
          <w:rFonts w:ascii="Cambria Math" w:hAnsi="Cambria Math"/>
          <w:sz w:val="19"/>
        </w:rPr>
        <w:t xml:space="preserve">  (4)</w:t>
      </w:r>
    </w:p>
    <w:p>
      <w:pPr/>
      <w:r>
        <w:rPr>
          <w:rFonts w:ascii="宋体" w:hAnsi="宋体" w:eastAsia="宋体"/>
          <w:sz w:val="21"/>
        </w:rPr>
        <w:t xml:space="preserve">其中 </w:t>
      </w:r>
      <m:oMath>
        <m:sSub>
          <m:e>
            <m:r>
              <m:t>E</m:t>
            </m:r>
          </m:e>
          <m:sub>
            <m:r>
              <m:t>min</m:t>
            </m:r>
          </m:sub>
        </m:sSub>
        <m:r>
          <m:t>=1200</m:t>
        </m:r>
      </m:oMath>
      <w:r>
        <w:rPr>
          <w:rFonts w:ascii="宋体" w:hAnsi="宋体" w:eastAsia="宋体"/>
          <w:sz w:val="21"/>
        </w:rPr>
        <w:t>、</w:t>
      </w:r>
      <m:oMath>
        <m:sSub>
          <m:e>
            <m:r>
              <m:t>E</m:t>
            </m:r>
          </m:e>
          <m:sub>
            <m:r>
              <m:t>max</m:t>
            </m:r>
          </m:sub>
        </m:sSub>
        <m:r>
          <m:t>=10800</m:t>
        </m:r>
      </m:oMath>
      <w:r>
        <w:rPr>
          <w:rFonts w:ascii="宋体" w:hAnsi="宋体" w:eastAsia="宋体"/>
          <w:sz w:val="21"/>
        </w:rPr>
        <w:t xml:space="preserve"> kWh，可用摆幅 9600 kWh；单段功率上限 </w:t>
      </w:r>
      <m:oMath>
        <m:sSub>
          <m:e>
            <m:r>
              <m:t>P</m:t>
            </m:r>
          </m:e>
          <m:sub>
            <m:r>
              <m:t>max</m:t>
            </m:r>
          </m:sub>
        </m:sSub>
        <m:r>
          <m:t>Δt=5000×(10/60)≈833.33</m:t>
        </m:r>
      </m:oMath>
      <w:r>
        <w:rPr>
          <w:rFonts w:ascii="宋体" w:hAnsi="宋体" w:eastAsia="宋体"/>
          <w:sz w:val="21"/>
        </w:rPr>
        <w:t xml:space="preserve"> kWh。储电量的边界条件为</w:t>
      </w:r>
    </w:p>
    <w:p>
      <w:pPr>
        <w:keepLines/>
        <w:spacing w:before="80" w:after="80"/>
        <w:ind w:firstLine="0"/>
        <w:jc w:val="center"/>
      </w:pPr>
      <m:oMathPara>
        <m:oMath>
          <m:sSub>
            <m:e>
              <m:r>
                <m:t>E</m:t>
              </m:r>
            </m:e>
            <m:sub>
              <m:r>
                <m:rPr>
                  <m:sty m:val="p"/>
                </m:rPr>
                <m:t>init</m:t>
              </m:r>
            </m:sub>
          </m:sSub>
          <m:r>
            <m:t>=6000</m:t>
          </m:r>
          <m:r>
            <m:rPr>
              <m:sty m:val="p"/>
            </m:rPr>
            <m:t> kWh</m:t>
          </m:r>
          <m:r>
            <m:t>,</m:t>
          </m:r>
          <m:sSub>
            <m:e>
              <m:r>
                <m:t>E</m:t>
              </m:r>
            </m:e>
            <m:sub>
              <m:r>
                <m:rPr>
                  <m:sty m:val="p"/>
                </m:rPr>
                <m:t>term</m:t>
              </m:r>
            </m:sub>
          </m:sSub>
          <m:r>
            <m:t>=6000</m:t>
          </m:r>
          <m:r>
            <m:rPr>
              <m:sty m:val="p"/>
            </m:rPr>
            <m:t> kWh</m:t>
          </m:r>
        </m:oMath>
      </m:oMathPara>
      <w:r>
        <w:rPr>
          <w:rFonts w:ascii="Cambria Math" w:hAnsi="Cambria Math"/>
          <w:sz w:val="19"/>
        </w:rPr>
        <w:t xml:space="preserve">  (5)</w:t>
      </w:r>
    </w:p>
    <w:p>
      <w:pPr/>
      <w:r>
        <w:rPr>
          <w:rFonts w:ascii="宋体" w:hAnsi="宋体" w:eastAsia="宋体"/>
          <w:sz w:val="21"/>
        </w:rPr>
        <w:t xml:space="preserve">问题二至四逐日串联 </w:t>
      </w:r>
      <m:oMath>
        <m:sSubSup>
          <m:e>
            <m:r>
              <m:t>E</m:t>
            </m:r>
          </m:e>
          <m:sub>
            <m:r>
              <m:t>0</m:t>
            </m:r>
          </m:sub>
          <m:sup>
            <m:d>
              <m:dPr>
                <m:sepChr m:val=""/>
              </m:dPr>
              <m:e>
                <m:r>
                  <m:t>d</m:t>
                </m:r>
              </m:e>
            </m:d>
          </m:sup>
        </m:sSubSup>
        <m:r>
          <m:t>=</m:t>
        </m:r>
        <m:sSubSup>
          <m:e>
            <m:r>
              <m:t>E</m:t>
            </m:r>
          </m:e>
          <m:sub>
            <m:r>
              <m:t>T</m:t>
            </m:r>
          </m:sub>
          <m:sup>
            <m:d>
              <m:dPr>
                <m:sepChr m:val="−"/>
              </m:dPr>
              <m:e>
                <m:r>
                  <m:t>d</m:t>
                </m:r>
              </m:e>
              <m:e>
                <m:r>
                  <m:t>1</m:t>
                </m:r>
              </m:e>
            </m:d>
          </m:sup>
        </m:sSubSup>
      </m:oMath>
      <w:r>
        <w:rPr>
          <w:rFonts w:ascii="宋体" w:hAnsi="宋体" w:eastAsia="宋体"/>
          <w:sz w:val="21"/>
        </w:rPr>
        <w:t xml:space="preserve">。初始值只在 2025 年 1 月 1 日 0:00 设置一次，1 月参加状态预热，2 月 1 日不重置；12 月 31 日 24:00 回到 </w:t>
      </w:r>
      <m:oMath>
        <m:sSub>
          <m:e>
            <m:r>
              <m:t>E</m:t>
            </m:r>
          </m:e>
          <m:sub>
            <m:r>
              <m:rPr>
                <m:sty m:val="p"/>
              </m:rPr>
              <m:t>term</m:t>
            </m:r>
          </m:sub>
        </m:sSub>
      </m:oMath>
      <w:r>
        <w:rPr>
          <w:rFonts w:ascii="宋体" w:hAnsi="宋体" w:eastAsia="宋体"/>
          <w:sz w:val="21"/>
        </w:rPr>
        <w:t xml:space="preserve">。为消除线性规划退化解中的同时充放，若某时段 </w:t>
      </w:r>
      <m:oMath>
        <m:sSub>
          <m:e>
            <m:r>
              <m:t>c</m:t>
            </m:r>
          </m:e>
          <m:sub>
            <m:r>
              <m:t>t</m:t>
            </m:r>
          </m:sub>
        </m:sSub>
        <m:r>
          <m:t>,</m:t>
        </m:r>
        <m:sSub>
          <m:e>
            <m:r>
              <m:t>s</m:t>
            </m:r>
          </m:e>
          <m:sub>
            <m:r>
              <m:t>t</m:t>
            </m:r>
          </m:sub>
        </m:sSub>
        <m:r>
          <m:t>&gt;0</m:t>
        </m:r>
      </m:oMath>
      <w:r>
        <w:rPr>
          <w:rFonts w:ascii="宋体" w:hAnsi="宋体" w:eastAsia="宋体"/>
          <w:sz w:val="21"/>
        </w:rPr>
        <w:t xml:space="preserve">，令 </w:t>
      </w:r>
      <m:oMath>
        <m:r>
          <m:t>δ=min(</m:t>
        </m:r>
        <m:sSub>
          <m:e>
            <m:r>
              <m:t>c</m:t>
            </m:r>
          </m:e>
          <m:sub>
            <m:r>
              <m:t>t</m:t>
            </m:r>
          </m:sub>
        </m:sSub>
        <m:r>
          <m:t>,</m:t>
        </m:r>
        <m:sSub>
          <m:e>
            <m:r>
              <m:t>s</m:t>
            </m:r>
          </m:e>
          <m:sub>
            <m:r>
              <m:t>t</m:t>
            </m:r>
          </m:sub>
        </m:sSub>
        <m:r>
          <m:t>/(</m:t>
        </m:r>
        <m:sSub>
          <m:e>
            <m:r>
              <m:t>η</m:t>
            </m:r>
          </m:e>
          <m:sub>
            <m:r>
              <m:t>c</m:t>
            </m:r>
          </m:sub>
        </m:sSub>
        <m:sSub>
          <m:e>
            <m:r>
              <m:t>η</m:t>
            </m:r>
          </m:e>
          <m:sub>
            <m:r>
              <m:t>d</m:t>
            </m:r>
          </m:sub>
        </m:sSub>
        <m:r>
          <m:t>))</m:t>
        </m:r>
      </m:oMath>
      <w:r>
        <w:rPr>
          <w:rFonts w:ascii="宋体" w:hAnsi="宋体" w:eastAsia="宋体"/>
          <w:sz w:val="21"/>
        </w:rPr>
        <w:t xml:space="preserve">，再作 </w:t>
      </w:r>
      <m:oMath>
        <m:sSubSup>
          <m:e>
            <m:r>
              <m:t>c</m:t>
            </m:r>
          </m:e>
          <m:sub>
            <m:r>
              <m:t>t</m:t>
            </m:r>
          </m:sub>
          <m:sup>
            <m:r>
              <m:t>′</m:t>
            </m:r>
          </m:sup>
        </m:sSubSup>
        <m:r>
          <m:t>=</m:t>
        </m:r>
        <m:sSub>
          <m:e>
            <m:r>
              <m:t>c</m:t>
            </m:r>
          </m:e>
          <m:sub>
            <m:r>
              <m:t>t</m:t>
            </m:r>
          </m:sub>
        </m:sSub>
        <m:r>
          <m:t>−δ</m:t>
        </m:r>
      </m:oMath>
      <w:r>
        <w:rPr>
          <w:rFonts w:ascii="宋体" w:hAnsi="宋体" w:eastAsia="宋体"/>
          <w:sz w:val="21"/>
        </w:rPr>
        <w:t>、</w:t>
      </w:r>
      <m:oMath>
        <m:sSubSup>
          <m:e>
            <m:r>
              <m:t>s</m:t>
            </m:r>
          </m:e>
          <m:sub>
            <m:r>
              <m:t>t</m:t>
            </m:r>
          </m:sub>
          <m:sup>
            <m:r>
              <m:t>′</m:t>
            </m:r>
          </m:sup>
        </m:sSubSup>
        <m:r>
          <m:t>=</m:t>
        </m:r>
        <m:sSub>
          <m:e>
            <m:r>
              <m:t>s</m:t>
            </m:r>
          </m:e>
          <m:sub>
            <m:r>
              <m:t>t</m:t>
            </m:r>
          </m:sub>
        </m:sSub>
        <m:r>
          <m:t>−</m:t>
        </m:r>
        <m:sSub>
          <m:e>
            <m:r>
              <m:t>η</m:t>
            </m:r>
          </m:e>
          <m:sub>
            <m:r>
              <m:t>c</m:t>
            </m:r>
          </m:sub>
        </m:sSub>
        <m:sSub>
          <m:e>
            <m:r>
              <m:t>η</m:t>
            </m:r>
          </m:e>
          <m:sub>
            <m:r>
              <m:t>d</m:t>
            </m:r>
          </m:sub>
        </m:sSub>
        <m:r>
          <m:t>δ</m:t>
        </m:r>
      </m:oMath>
      <w:r>
        <w:rPr>
          <w:rFonts w:ascii="宋体" w:hAnsi="宋体" w:eastAsia="宋体"/>
          <w:sz w:val="21"/>
        </w:rPr>
        <w:t xml:space="preserve">。该变换保持 SOC 增量不变，并使净供给增加 </w:t>
      </w:r>
      <m:oMath>
        <m:r>
          <m:t>δ(1−</m:t>
        </m:r>
        <m:sSub>
          <m:e>
            <m:r>
              <m:t>η</m:t>
            </m:r>
          </m:e>
          <m:sub>
            <m:r>
              <m:t>c</m:t>
            </m:r>
          </m:sub>
        </m:sSub>
        <m:sSub>
          <m:e>
            <m:r>
              <m:t>η</m:t>
            </m:r>
          </m:e>
          <m:sub>
            <m:r>
              <m:t>d</m:t>
            </m:r>
          </m:sub>
        </m:sSub>
        <m:r>
          <m:t>)</m:t>
        </m:r>
      </m:oMath>
      <w:r>
        <w:rPr>
          <w:rFonts w:ascii="宋体" w:hAnsi="宋体" w:eastAsia="宋体"/>
          <w:sz w:val="21"/>
        </w:rPr>
        <w:t xml:space="preserve">，增加量由 </w:t>
      </w:r>
      <m:oMath>
        <m:sSub>
          <m:e>
            <m:r>
              <m:t>q</m:t>
            </m:r>
          </m:e>
          <m:sub>
            <m:r>
              <m:t>t</m:t>
            </m:r>
          </m:sub>
        </m:sSub>
      </m:oMath>
      <w:r>
        <w:rPr>
          <w:rFonts w:ascii="宋体" w:hAnsi="宋体" w:eastAsia="宋体"/>
          <w:sz w:val="21"/>
        </w:rPr>
        <w:t xml:space="preserve"> 吸收，目标值不变，因此必存在逐时段不同时充放的同价可行解。程序据此归一化，并以 </w:t>
      </w:r>
      <m:oMath>
        <m:sSub>
          <m:e>
            <m:r>
              <m:t>max</m:t>
            </m:r>
          </m:e>
          <m:sub>
            <m:r>
              <m:t>t</m:t>
            </m:r>
          </m:sub>
        </m:sSub>
        <m:r>
          <m:t>min(</m:t>
        </m:r>
        <m:sSub>
          <m:e>
            <m:r>
              <m:t>c</m:t>
            </m:r>
          </m:e>
          <m:sub>
            <m:r>
              <m:t>t</m:t>
            </m:r>
          </m:sub>
        </m:sSub>
        <m:r>
          <m:t>,</m:t>
        </m:r>
        <m:sSub>
          <m:e>
            <m:r>
              <m:t>s</m:t>
            </m:r>
          </m:e>
          <m:sub>
            <m:r>
              <m:t>t</m:t>
            </m:r>
          </m:sub>
        </m:sSub>
        <m:r>
          <m:t>)≤</m:t>
        </m:r>
        <m:sSup>
          <m:e>
            <m:r>
              <m:t>10</m:t>
            </m:r>
          </m:e>
          <m:sup>
            <m:r>
              <m:t>−6</m:t>
            </m:r>
          </m:sup>
        </m:sSup>
      </m:oMath>
      <w:r>
        <w:rPr>
          <w:rFonts w:ascii="宋体" w:hAnsi="宋体" w:eastAsia="宋体"/>
          <w:sz w:val="21"/>
        </w:rPr>
        <w:t xml:space="preserve"> kWh 逐时段审计。HiGHS 仅保证每个已构造线性规划子问题的全局最优性；问题二完整计划执行体系另有 §6.4 所述近似。实现以累积和矩阵消去 </w:t>
      </w:r>
      <m:oMath>
        <m:sSub>
          <m:e>
            <m:r>
              <m:t>E</m:t>
            </m:r>
          </m:e>
          <m:sub>
            <m:r>
              <m:t>t</m:t>
            </m:r>
          </m:sub>
        </m:sSub>
      </m:oMath>
      <w:r>
        <w:rPr>
          <w:rFonts w:ascii="宋体" w:hAnsi="宋体" w:eastAsia="宋体"/>
          <w:sz w:val="21"/>
        </w:rPr>
        <w:t xml:space="preserve">，保留 </w:t>
      </w:r>
      <m:oMath>
        <m:r>
          <m:t>x,c,s,u,q</m:t>
        </m:r>
      </m:oMath>
      <w:r>
        <w:rPr>
          <w:rFonts w:ascii="宋体" w:hAnsi="宋体" w:eastAsia="宋体"/>
          <w:sz w:val="21"/>
        </w:rPr>
        <w:t xml:space="preserve"> 的线性等式与不等式。</w:t>
      </w:r>
    </w:p>
    <w:p>
      <w:pPr>
        <w:pStyle w:val="Heading1"/>
        <w:ind w:firstLine="0"/>
      </w:pPr>
      <w:r>
        <w:rPr>
          <w:rFonts w:ascii="黑体" w:hAnsi="黑体" w:eastAsia="黑体"/>
          <w:sz w:val="30"/>
        </w:rPr>
        <w:t>四、四问共用的数据结构诊断</w:t>
      </w:r>
    </w:p>
    <w:p>
      <w:pPr/>
      <w:r>
        <w:rPr>
          <w:rFonts w:ascii="宋体" w:hAnsi="宋体" w:eastAsia="宋体"/>
          <w:sz w:val="21"/>
        </w:rPr>
        <w:t>在进入具体模型之前，必须先弄清五份附件之间的关系，以及负载序列的内在结构，这两点直接决定了问题一为何是单日问题、问题二至四为何必须回到 365 天真实序列，也决定了负载预测应当按什么方式分组。本章的三项判断（附件 1 是均值断面、负载呈周内双日型、两日型不是简单比例缩放）是后续所有建模的共同前提。</w:t>
      </w:r>
    </w:p>
    <w:p>
      <w:pPr>
        <w:pStyle w:val="Heading2"/>
        <w:ind w:firstLine="0"/>
      </w:pPr>
      <w:r>
        <w:rPr>
          <w:rFonts w:ascii="黑体" w:hAnsi="黑体" w:eastAsia="黑体"/>
          <w:sz w:val="26"/>
        </w:rPr>
        <w:t>4.1 附件 1 是全年逐时段均值，只能作典型日</w:t>
      </w:r>
    </w:p>
    <w:p>
      <w:pPr/>
      <w:r>
        <w:rPr>
          <w:rFonts w:ascii="宋体" w:hAnsi="宋体" w:eastAsia="宋体"/>
          <w:sz w:val="21"/>
        </w:rPr>
        <w:t xml:space="preserve">附件 1 给出一个"平均日"的 144 段电价、负载与光伏功率。将其三列分别与附件 2、附件 4 全年 365 天的逐时段均值比对，电价列相关系数为 1.0、最大偏差在 </w:t>
      </w:r>
      <m:oMath>
        <m:sSup>
          <m:e>
            <m:r>
              <m:t>10</m:t>
            </m:r>
          </m:e>
          <m:sup>
            <m:r>
              <m:t>−5</m:t>
            </m:r>
          </m:sup>
        </m:sSup>
      </m:oMath>
      <w:r>
        <w:rPr>
          <w:rFonts w:ascii="宋体" w:hAnsi="宋体" w:eastAsia="宋体"/>
          <w:sz w:val="21"/>
        </w:rPr>
        <w:t xml:space="preserve"> 量级，负载与光伏列亦逐段吻合，说明附件 1 是全年均值断面而非某一真实日期。图 3 展示了这一断面的四个侧面。</w:t>
      </w:r>
    </w:p>
    <w:p>
      <w:pPr>
        <w:keepNext w:val="1"/>
        <w:ind w:firstLine="0"/>
        <w:jc w:val="center"/>
      </w:pPr>
      <w:r>
        <w:drawing>
          <wp:inline xmlns:a="http://schemas.openxmlformats.org/drawingml/2006/main" xmlns:pic="http://schemas.openxmlformats.org/drawingml/2006/picture">
            <wp:extent cx="5400000" cy="4066420"/>
            <wp:docPr id="2" name="Picture 2" descr="附件具有稳定的日内型与清晰的峰谷时段"/>
            <wp:cNvGraphicFramePr>
              <a:graphicFrameLocks noChangeAspect="1"/>
            </wp:cNvGraphicFramePr>
            <a:graphic>
              <a:graphicData uri="http://schemas.openxmlformats.org/drawingml/2006/picture">
                <pic:pic>
                  <pic:nvPicPr>
                    <pic:cNvPr id="0" name="fig_att1_profile.png"/>
                    <pic:cNvPicPr/>
                  </pic:nvPicPr>
                  <pic:blipFill>
                    <a:blip r:embed="rId12"/>
                    <a:stretch>
                      <a:fillRect/>
                    </a:stretch>
                  </pic:blipFill>
                  <pic:spPr>
                    <a:xfrm>
                      <a:off x="0" y="0"/>
                      <a:ext cx="5400000" cy="4066420"/>
                    </a:xfrm>
                    <a:prstGeom prst="rect"/>
                  </pic:spPr>
                </pic:pic>
              </a:graphicData>
            </a:graphic>
          </wp:inline>
        </w:drawing>
      </w:r>
    </w:p>
    <w:p>
      <w:pPr>
        <w:pStyle w:val="Caption"/>
        <w:spacing w:after="100"/>
        <w:ind w:firstLine="0"/>
        <w:jc w:val="center"/>
      </w:pPr>
      <w:r>
        <w:rPr>
          <w:rFonts w:ascii="宋体" w:hAnsi="宋体" w:eastAsia="宋体"/>
          <w:sz w:val="18"/>
        </w:rPr>
        <w:t>图 3 附件一平均日断面</w:t>
      </w:r>
    </w:p>
    <w:p>
      <w:pPr/>
      <w:r>
        <w:rPr>
          <w:rFonts w:ascii="宋体" w:hAnsi="宋体" w:eastAsia="宋体"/>
          <w:sz w:val="21"/>
        </w:rPr>
        <w:t xml:space="preserve">图 3(a) 的分时电价峰值 1.3952 元/kWh、谷值 0.3713 元/kWh，峰谷比约 3.76，价格在 6:00 前后与 17:00–20:00 出现两个高台，凌晨与午后为低谷，这一双峰形态正是储能套利的价格前提。图 3(b) 显示该典型日负载总量 111024.81 kWh、光伏日发电 55482.84 kWh，光伏约可覆盖全天用电的一半，但出力集中在正午。图 3(c) 的净需求曲线在午间 11:00–14:00 转为负值（光伏盈余），单段净需求在 </w:t>
      </w:r>
      <m:oMath>
        <m:r>
          <m:t>−352.9</m:t>
        </m:r>
      </m:oMath>
      <w:r>
        <w:rPr>
          <w:rFonts w:ascii="宋体" w:hAnsi="宋体" w:eastAsia="宋体"/>
          <w:sz w:val="21"/>
        </w:rPr>
        <w:t xml:space="preserve"> 至 </w:t>
      </w:r>
      <m:oMath>
        <m:r>
          <m:t>826.1</m:t>
        </m:r>
      </m:oMath>
      <w:r>
        <w:rPr>
          <w:rFonts w:ascii="宋体" w:hAnsi="宋体" w:eastAsia="宋体"/>
          <w:sz w:val="21"/>
        </w:rPr>
        <w:t xml:space="preserve"> kWh 之间摆动。图 3(d) 把净需求与电价配对散点，高价时段恰好落在净需求高位、低价时段对应午间盈余，二者呈正向错配——这意味着"低价充电、高价放电"同时也是"盈余时充电、缺口时放电"，价格套利与削峰填谷在本题中方向一致。正因为附件 1 是均值而非真实日，它只能用于问题一的单日确定性优化，任何跨日滚动或误差评估都必须回到附件 2/4 的真实序列。</w:t>
      </w:r>
    </w:p>
    <w:p>
      <w:pPr>
        <w:pStyle w:val="Heading2"/>
        <w:ind w:firstLine="0"/>
      </w:pPr>
      <w:r>
        <w:rPr>
          <w:rFonts w:ascii="黑体" w:hAnsi="黑体" w:eastAsia="黑体"/>
          <w:sz w:val="26"/>
        </w:rPr>
        <w:t>4.2 负载呈完全规律的周内双日型</w:t>
      </w:r>
    </w:p>
    <w:p>
      <w:pPr/>
      <w:r>
        <w:rPr>
          <w:rFonts w:ascii="宋体" w:hAnsi="宋体" w:eastAsia="宋体"/>
          <w:sz w:val="21"/>
        </w:rPr>
        <w:t>附件 2 全年 365 天的日用电量并非连续分布，而是清晰地分成高、低两簇。图 4 按星期把每日总量画成核密度山脊图，可以看到周五、周六两条曲线整体左移、与其余五天几乎不重叠。</w:t>
      </w:r>
    </w:p>
    <w:p>
      <w:pPr>
        <w:keepNext w:val="1"/>
        <w:ind w:firstLine="0"/>
        <w:jc w:val="center"/>
      </w:pPr>
      <w:r>
        <w:drawing>
          <wp:inline xmlns:a="http://schemas.openxmlformats.org/drawingml/2006/main" xmlns:pic="http://schemas.openxmlformats.org/drawingml/2006/picture">
            <wp:extent cx="5265000" cy="3510000"/>
            <wp:docPr id="3" name="Picture 3" descr="负载日型存在可分的双制度结构"/>
            <wp:cNvGraphicFramePr>
              <a:graphicFrameLocks noChangeAspect="1"/>
            </wp:cNvGraphicFramePr>
            <a:graphic>
              <a:graphicData uri="http://schemas.openxmlformats.org/drawingml/2006/picture">
                <pic:pic>
                  <pic:nvPicPr>
                    <pic:cNvPr id="0" name="fig_load_regime_ridgeline.png"/>
                    <pic:cNvPicPr/>
                  </pic:nvPicPr>
                  <pic:blipFill>
                    <a:blip r:embed="rId13"/>
                    <a:stretch>
                      <a:fillRect/>
                    </a:stretch>
                  </pic:blipFill>
                  <pic:spPr>
                    <a:xfrm>
                      <a:off x="0" y="0"/>
                      <a:ext cx="5265000" cy="3510000"/>
                    </a:xfrm>
                    <a:prstGeom prst="rect"/>
                  </pic:spPr>
                </pic:pic>
              </a:graphicData>
            </a:graphic>
          </wp:inline>
        </w:drawing>
      </w:r>
    </w:p>
    <w:p>
      <w:pPr>
        <w:pStyle w:val="Caption"/>
        <w:spacing w:after="100"/>
        <w:ind w:firstLine="0"/>
        <w:jc w:val="center"/>
      </w:pPr>
      <w:r>
        <w:rPr>
          <w:rFonts w:ascii="宋体" w:hAnsi="宋体" w:eastAsia="宋体"/>
          <w:sz w:val="18"/>
        </w:rPr>
        <w:t>图 4 日用电量按星期分布</w:t>
      </w:r>
    </w:p>
    <w:p>
      <w:pPr/>
      <w:r>
        <w:rPr>
          <w:rFonts w:ascii="宋体" w:hAnsi="宋体" w:eastAsia="宋体"/>
          <w:sz w:val="21"/>
        </w:rPr>
        <w:t>统计上，周五与周六合计 104 天构成低负载日型，日均用电 78369.5 kWh；其余五天合计 261 天构成高负载日型，日均 124036.9 kWh，两者相差约 58%。图 4 中低负载两簇的峰位落在 7.5 万 kWh 附近，高负载五簇的峰位落在 12 万 kWh 附近，簇内方差远小于簇间距离，因此用"是否周五/周六"就能几乎无误地判定日型。这一结构对建模的意义是决定性的：若用全历史平均预测某个低负载日的负载，会系统性高估约 4.5 万 kWh；反之亦然。因此后文所有负载预测都先按日型分组，再在组内取近期历史均值，而不能跨组混用。日历热图（图 5）进一步验证这一结构不是偶然的月度波动。</w:t>
      </w:r>
    </w:p>
    <w:p>
      <w:pPr>
        <w:keepNext w:val="1"/>
        <w:ind w:firstLine="0"/>
        <w:jc w:val="center"/>
      </w:pPr>
      <w:r>
        <w:drawing>
          <wp:inline xmlns:a="http://schemas.openxmlformats.org/drawingml/2006/main" xmlns:pic="http://schemas.openxmlformats.org/drawingml/2006/picture">
            <wp:extent cx="5264999" cy="2411871"/>
            <wp:docPr id="4" name="Picture 4" descr="高低载制度在日历上呈稳定块状切换"/>
            <wp:cNvGraphicFramePr>
              <a:graphicFrameLocks noChangeAspect="1"/>
            </wp:cNvGraphicFramePr>
            <a:graphic>
              <a:graphicData uri="http://schemas.openxmlformats.org/drawingml/2006/picture">
                <pic:pic>
                  <pic:nvPicPr>
                    <pic:cNvPr id="0" name="fig_load_calendar.png"/>
                    <pic:cNvPicPr/>
                  </pic:nvPicPr>
                  <pic:blipFill>
                    <a:blip r:embed="rId14"/>
                    <a:stretch>
                      <a:fillRect/>
                    </a:stretch>
                  </pic:blipFill>
                  <pic:spPr>
                    <a:xfrm>
                      <a:off x="0" y="0"/>
                      <a:ext cx="5264999" cy="2411871"/>
                    </a:xfrm>
                    <a:prstGeom prst="rect"/>
                  </pic:spPr>
                </pic:pic>
              </a:graphicData>
            </a:graphic>
          </wp:inline>
        </w:drawing>
      </w:r>
    </w:p>
    <w:p>
      <w:pPr>
        <w:pStyle w:val="Caption"/>
        <w:spacing w:after="100"/>
        <w:ind w:firstLine="0"/>
        <w:jc w:val="center"/>
      </w:pPr>
      <w:r>
        <w:rPr>
          <w:rFonts w:ascii="宋体" w:hAnsi="宋体" w:eastAsia="宋体"/>
          <w:sz w:val="18"/>
        </w:rPr>
        <w:t>图 5 全年日用电量日历热图</w:t>
      </w:r>
    </w:p>
    <w:p>
      <w:pPr/>
      <w:r>
        <w:rPr>
          <w:rFonts w:ascii="宋体" w:hAnsi="宋体" w:eastAsia="宋体"/>
          <w:sz w:val="21"/>
        </w:rPr>
        <w:t>以周为列、星期为行铺开全年日用电量（图 5），颜色越深表示用电越多。周五、周六两行贯穿全年系统性偏浅，青色线标出的这两行在全年各周内几乎没有例外，证实低负载日型与星期强绑定而非随机噪声。沿横向还可读出季节趋势：7–8 月整体偏深，对应夏季空调负荷抬升，月均日用电从 3 月的约 10.5 万 kWh 升到 7 月的约 12.8 万 kWh。这一季节漂移说明负载预测除了分日型，还应偏重"近期"历史而非远期，为后文取最近 4 天均值提供了依据，因为预测窗口过长会把已经过去的季节状态带进来。</w:t>
      </w:r>
    </w:p>
    <w:p>
      <w:pPr>
        <w:pStyle w:val="Heading2"/>
        <w:ind w:firstLine="0"/>
      </w:pPr>
      <w:r>
        <w:rPr>
          <w:rFonts w:ascii="黑体" w:hAnsi="黑体" w:eastAsia="黑体"/>
          <w:sz w:val="26"/>
        </w:rPr>
        <w:t>4.3 两日型不是简单的比例缩放</w:t>
      </w:r>
    </w:p>
    <w:p>
      <w:pPr/>
      <w:r>
        <w:rPr>
          <w:rFonts w:ascii="宋体" w:hAnsi="宋体" w:eastAsia="宋体"/>
          <w:sz w:val="21"/>
        </w:rPr>
        <w:t>一个自然的猜想是：低负载日只是高负载日按某个固定比例缩小。若成立，则只需估计一条形状曲线加一个总量系数即可。图 6 用两日型的日内平均负载形状与逐段比值否定了这一简化。</w:t>
      </w:r>
    </w:p>
    <w:p>
      <w:pPr>
        <w:keepNext w:val="1"/>
        <w:ind w:firstLine="0"/>
        <w:jc w:val="center"/>
      </w:pPr>
      <w:r>
        <w:drawing>
          <wp:inline xmlns:a="http://schemas.openxmlformats.org/drawingml/2006/main" xmlns:pic="http://schemas.openxmlformats.org/drawingml/2006/picture">
            <wp:extent cx="5265000" cy="2983500"/>
            <wp:docPr id="5" name="Picture 5" descr="高载型不仅水平更高，峰段形状也不同"/>
            <wp:cNvGraphicFramePr>
              <a:graphicFrameLocks noChangeAspect="1"/>
            </wp:cNvGraphicFramePr>
            <a:graphic>
              <a:graphicData uri="http://schemas.openxmlformats.org/drawingml/2006/picture">
                <pic:pic>
                  <pic:nvPicPr>
                    <pic:cNvPr id="0" name="fig_regime_shape.png"/>
                    <pic:cNvPicPr/>
                  </pic:nvPicPr>
                  <pic:blipFill>
                    <a:blip r:embed="rId15"/>
                    <a:stretch>
                      <a:fillRect/>
                    </a:stretch>
                  </pic:blipFill>
                  <pic:spPr>
                    <a:xfrm>
                      <a:off x="0" y="0"/>
                      <a:ext cx="5265000" cy="2983500"/>
                    </a:xfrm>
                    <a:prstGeom prst="rect"/>
                  </pic:spPr>
                </pic:pic>
              </a:graphicData>
            </a:graphic>
          </wp:inline>
        </w:drawing>
      </w:r>
    </w:p>
    <w:p>
      <w:pPr>
        <w:pStyle w:val="Caption"/>
        <w:spacing w:after="100"/>
        <w:ind w:firstLine="0"/>
        <w:jc w:val="center"/>
      </w:pPr>
      <w:r>
        <w:rPr>
          <w:rFonts w:ascii="宋体" w:hAnsi="宋体" w:eastAsia="宋体"/>
          <w:sz w:val="18"/>
        </w:rPr>
        <w:t>图 6 两日型日内负载形状</w:t>
      </w:r>
    </w:p>
    <w:p>
      <w:pPr/>
      <w:r>
        <w:rPr>
          <w:rFonts w:ascii="宋体" w:hAnsi="宋体" w:eastAsia="宋体"/>
          <w:sz w:val="21"/>
        </w:rPr>
        <w:t>叠放两日型的 144 段平均功率曲线可见（图 6，左轴），低负载日整日功率约为高负载日的 0.632 倍；但右轴所示的逐段比值并不恒定，而是在 0.458 至 0.914 之间大幅起伏：凌晨与深夜比值高（两日型都处于基荷、差异小），白天工作时段比值低（高负载日的日间抬升远大于低负载日）。这说明两日型的差异集中在白天而非全天等比例出现，若强行用单一系数缩放会在日间产生系统偏差。因此本文对两个日型分别估计完整的日内形状，而不是共享一条曲线再乘系数——这也是后文负载预测器"同日型取近期同时段均值"设计的直接来源。至此，四问共用的数据前提已经明确：问题一用附件 1 的均值断面做单日优化，问题二至四在附件 2/4 的真实序列上、按日型分组滚动求解。</w:t>
      </w:r>
    </w:p>
    <w:p>
      <w:pPr>
        <w:pStyle w:val="Heading1"/>
        <w:ind w:firstLine="0"/>
      </w:pPr>
      <w:r>
        <w:rPr>
          <w:rFonts w:ascii="黑体" w:hAnsi="黑体" w:eastAsia="黑体"/>
          <w:sz w:val="30"/>
        </w:rPr>
        <w:t>五、问题一：日前确定性购电—储能联合优化</w:t>
      </w:r>
    </w:p>
    <w:p>
      <w:pPr>
        <w:pStyle w:val="Heading2"/>
        <w:ind w:firstLine="0"/>
      </w:pPr>
      <w:r>
        <w:rPr>
          <w:rFonts w:ascii="黑体" w:hAnsi="黑体" w:eastAsia="黑体"/>
          <w:sz w:val="26"/>
        </w:rPr>
        <w:t>5.1 问题定位与决策变量</w:t>
      </w:r>
    </w:p>
    <w:p>
      <w:pPr/>
      <w:r>
        <w:rPr>
          <w:rFonts w:ascii="宋体" w:hAnsi="宋体" w:eastAsia="宋体"/>
          <w:sz w:val="21"/>
        </w:rPr>
        <w:t xml:space="preserve">问题一给定附件 1 典型日的电价、负载与光伏全序列，信息完全确定、无预测误差，也无紧急购电机制。目标是在 0:00 一次性决定全天 144 段的计划购电量、储能充放电与弃光量，使全天购电费用最小。决策变量为 </w:t>
      </w:r>
      <m:oMath>
        <m:sSub>
          <m:e>
            <m:r>
              <m:t>x</m:t>
            </m:r>
          </m:e>
          <m:sub>
            <m:r>
              <m:t>t</m:t>
            </m:r>
          </m:sub>
        </m:sSub>
        <m:r>
          <m:t>,</m:t>
        </m:r>
        <m:sSub>
          <m:e>
            <m:r>
              <m:t>c</m:t>
            </m:r>
          </m:e>
          <m:sub>
            <m:r>
              <m:t>t</m:t>
            </m:r>
          </m:sub>
        </m:sSub>
        <m:r>
          <m:t>,</m:t>
        </m:r>
        <m:sSub>
          <m:e>
            <m:r>
              <m:t>s</m:t>
            </m:r>
          </m:e>
          <m:sub>
            <m:r>
              <m:t>t</m:t>
            </m:r>
          </m:sub>
        </m:sSub>
        <m:r>
          <m:t>,</m:t>
        </m:r>
        <m:sSub>
          <m:e>
            <m:r>
              <m:t>q</m:t>
            </m:r>
          </m:e>
          <m:sub>
            <m:r>
              <m:t>t</m:t>
            </m:r>
          </m:sub>
        </m:sSub>
      </m:oMath>
      <w:r>
        <w:rPr>
          <w:rFonts w:ascii="宋体" w:hAnsi="宋体" w:eastAsia="宋体"/>
          <w:sz w:val="21"/>
        </w:rPr>
        <w:t xml:space="preserve">，状态量为 </w:t>
      </w:r>
      <m:oMath>
        <m:sSub>
          <m:e>
            <m:r>
              <m:t>E</m:t>
            </m:r>
          </m:e>
          <m:sub>
            <m:r>
              <m:t>t</m:t>
            </m:r>
          </m:sub>
        </m:sSub>
      </m:oMath>
      <w:r>
        <w:rPr>
          <w:rFonts w:ascii="宋体" w:hAnsi="宋体" w:eastAsia="宋体"/>
          <w:sz w:val="21"/>
        </w:rPr>
        <w:t xml:space="preserve">，并令紧急购电 </w:t>
      </w:r>
      <m:oMath>
        <m:sSub>
          <m:e>
            <m:r>
              <m:t>u</m:t>
            </m:r>
          </m:e>
          <m:sub>
            <m:r>
              <m:t>t</m:t>
            </m:r>
          </m:sub>
        </m:sSub>
        <m:r>
          <m:t>≡0</m:t>
        </m:r>
      </m:oMath>
      <w:r>
        <w:rPr>
          <w:rFonts w:ascii="宋体" w:hAnsi="宋体" w:eastAsia="宋体"/>
          <w:sz w:val="21"/>
        </w:rPr>
        <w:t>。</w:t>
      </w:r>
    </w:p>
    <w:p>
      <w:pPr>
        <w:pStyle w:val="Heading2"/>
        <w:ind w:firstLine="0"/>
      </w:pPr>
      <w:r>
        <w:rPr>
          <w:rFonts w:ascii="黑体" w:hAnsi="黑体" w:eastAsia="黑体"/>
          <w:sz w:val="26"/>
        </w:rPr>
        <w:t>5.2 目标函数与完整模型</w:t>
      </w:r>
    </w:p>
    <w:p>
      <w:pPr/>
      <w:r>
        <w:rPr>
          <w:rFonts w:ascii="宋体" w:hAnsi="宋体" w:eastAsia="宋体"/>
          <w:sz w:val="21"/>
        </w:rPr>
        <w:t>全天购电费用为各段计划购电量与电价之积的总和，储能充放电本身不直接计费（充电电量已计入购电、放电顶替购电）。目标与约束合写为</w:t>
      </w:r>
    </w:p>
    <w:p>
      <w:pPr>
        <w:keepLines/>
        <w:spacing w:before="80" w:after="80"/>
        <w:ind w:firstLine="0"/>
        <w:jc w:val="center"/>
      </w:pPr>
      <m:oMathPara>
        <m:oMath>
          <m:sSub>
            <m:e>
              <m:r>
                <m:t>min</m:t>
              </m:r>
            </m:e>
            <m:sub>
              <m:r>
                <m:t>x,c,s,q</m:t>
              </m:r>
            </m:sub>
          </m:sSub>
          <m:r>
            <m:rPr>
              <m:sty m:val="p"/>
            </m:rPr>
            <m:t> </m:t>
          </m:r>
          <m:nary>
            <m:naryPr>
              <m:chr m:val="∑"/>
              <m:limLoc m:val="undOvr"/>
              <m:grow m:val="1"/>
              <m:subHide m:val="off"/>
              <m:supHide m:val="off"/>
            </m:naryPr>
            <m:sub>
              <m:r>
                <m:t>t=1</m:t>
              </m:r>
            </m:sub>
            <m:sup>
              <m:r>
                <m:t>144</m:t>
              </m:r>
            </m:sup>
            <m:e>
              <m:sSub>
                <m:e>
                  <m:r>
                    <m:t>p</m:t>
                  </m:r>
                </m:e>
                <m:sub>
                  <m:r>
                    <m:t>t</m:t>
                  </m:r>
                </m:sub>
              </m:sSub>
            </m:e>
          </m:nary>
          <m:sSub>
            <m:e>
              <m:r>
                <m:t>x</m:t>
              </m:r>
            </m:e>
            <m:sub>
              <m:r>
                <m:t>t</m:t>
              </m:r>
            </m:sub>
          </m:sSub>
          <m:r>
            <m:rPr>
              <m:nor/>
            </m:rPr>
            <m:t>s.t.</m:t>
          </m:r>
          <m:d>
            <m:dPr>
              <m:begChr m:val="{"/>
              <m:sepChr m:val=""/>
              <m:endChr m:val=""/>
            </m:dPr>
            <m:e>
              <m:m>
                <m:mPr>
                  <m:baseJc m:val="center"/>
                  <m:plcHide m:val="on"/>
                  <m:mcs>
                    <m:mc>
                      <m:mcPr>
                        <m:count m:val="2"/>
                        <m:mcJc m:val="center"/>
                      </m:mcPr>
                    </m:mc>
                  </m:mcs>
                </m:mPr>
                <m:mr>
                  <m:e>
                    <m:sSub>
                      <m:e>
                        <m:r>
                          <m:t>x</m:t>
                        </m:r>
                      </m:e>
                      <m:sub>
                        <m:r>
                          <m:t>t</m:t>
                        </m:r>
                      </m:sub>
                    </m:sSub>
                    <m:r>
                      <m:t>+</m:t>
                    </m:r>
                    <m:sSub>
                      <m:e>
                        <m:r>
                          <m:t>G</m:t>
                        </m:r>
                      </m:e>
                      <m:sub>
                        <m:r>
                          <m:t>t</m:t>
                        </m:r>
                      </m:sub>
                    </m:sSub>
                    <m:r>
                      <m:t>+</m:t>
                    </m:r>
                    <m:sSub>
                      <m:e>
                        <m:r>
                          <m:t>s</m:t>
                        </m:r>
                      </m:e>
                      <m:sub>
                        <m:r>
                          <m:t>t</m:t>
                        </m:r>
                      </m:sub>
                    </m:sSub>
                    <m:r>
                      <m:t>=</m:t>
                    </m:r>
                    <m:sSub>
                      <m:e>
                        <m:r>
                          <m:t>L</m:t>
                        </m:r>
                      </m:e>
                      <m:sub>
                        <m:r>
                          <m:t>t</m:t>
                        </m:r>
                      </m:sub>
                    </m:sSub>
                    <m:r>
                      <m:t>+</m:t>
                    </m:r>
                    <m:sSub>
                      <m:e>
                        <m:r>
                          <m:t>c</m:t>
                        </m:r>
                      </m:e>
                      <m:sub>
                        <m:r>
                          <m:t>t</m:t>
                        </m:r>
                      </m:sub>
                    </m:sSub>
                    <m:r>
                      <m:t>+</m:t>
                    </m:r>
                    <m:sSub>
                      <m:e>
                        <m:r>
                          <m:t>q</m:t>
                        </m:r>
                      </m:e>
                      <m:sub>
                        <m:r>
                          <m:t>t</m:t>
                        </m:r>
                      </m:sub>
                    </m:sSub>
                    <m:r>
                      <m:t>,</m:t>
                    </m:r>
                  </m:e>
                  <m:e>
                    <m:r>
                      <m:t>∀t</m:t>
                    </m:r>
                  </m:e>
                </m:mr>
                <m:mr>
                  <m:e>
                    <m:r>
                      <m:t/>
                    </m:r>
                    <m:r>
                      <m:rPr>
                        <m:sty m:val="p"/>
                      </m:rPr>
                      <m:t/>
                    </m:r>
                    <m:r>
                      <m:t/>
                    </m:r>
                    <m:sSub>
                      <m:e>
                        <m:r>
                          <m:t>E</m:t>
                        </m:r>
                      </m:e>
                      <m:sub>
                        <m:r>
                          <m:t>t</m:t>
                        </m:r>
                      </m:sub>
                    </m:sSub>
                    <m:r>
                      <m:t>=</m:t>
                    </m:r>
                    <m:sSub>
                      <m:e>
                        <m:r>
                          <m:t>E</m:t>
                        </m:r>
                      </m:e>
                      <m:sub>
                        <m:r>
                          <m:t>t−1</m:t>
                        </m:r>
                      </m:sub>
                    </m:sSub>
                    <m:r>
                      <m:t>+</m:t>
                    </m:r>
                    <m:sSub>
                      <m:e>
                        <m:r>
                          <m:t>η</m:t>
                        </m:r>
                      </m:e>
                      <m:sub>
                        <m:r>
                          <m:t>c</m:t>
                        </m:r>
                      </m:sub>
                    </m:sSub>
                    <m:sSub>
                      <m:e>
                        <m:r>
                          <m:t>c</m:t>
                        </m:r>
                      </m:e>
                      <m:sub>
                        <m:r>
                          <m:t>t</m:t>
                        </m:r>
                      </m:sub>
                    </m:sSub>
                    <m:r>
                      <m:t>−</m:t>
                    </m:r>
                    <m:sSub>
                      <m:e>
                        <m:r>
                          <m:t>s</m:t>
                        </m:r>
                      </m:e>
                      <m:sub>
                        <m:r>
                          <m:t>t</m:t>
                        </m:r>
                      </m:sub>
                    </m:sSub>
                    <m:r>
                      <m:t>/</m:t>
                    </m:r>
                    <m:sSub>
                      <m:e>
                        <m:r>
                          <m:t>η</m:t>
                        </m:r>
                      </m:e>
                      <m:sub>
                        <m:r>
                          <m:t>d</m:t>
                        </m:r>
                      </m:sub>
                    </m:sSub>
                    <m:r>
                      <m:t>,</m:t>
                    </m:r>
                  </m:e>
                  <m:e>
                    <m:r>
                      <m:t>∀t</m:t>
                    </m:r>
                  </m:e>
                </m:mr>
                <m:mr>
                  <m:e>
                    <m:r>
                      <m:t/>
                    </m:r>
                    <m:r>
                      <m:rPr>
                        <m:sty m:val="p"/>
                      </m:rPr>
                      <m:t/>
                    </m:r>
                    <m:r>
                      <m:t/>
                    </m:r>
                    <m:sSub>
                      <m:e>
                        <m:r>
                          <m:t>E</m:t>
                        </m:r>
                      </m:e>
                      <m:sub>
                        <m:r>
                          <m:t>min</m:t>
                        </m:r>
                      </m:sub>
                    </m:sSub>
                    <m:r>
                      <m:t>≤</m:t>
                    </m:r>
                    <m:sSub>
                      <m:e>
                        <m:r>
                          <m:t>E</m:t>
                        </m:r>
                      </m:e>
                      <m:sub>
                        <m:r>
                          <m:t>t</m:t>
                        </m:r>
                      </m:sub>
                    </m:sSub>
                    <m:r>
                      <m:t>≤</m:t>
                    </m:r>
                    <m:sSub>
                      <m:e>
                        <m:r>
                          <m:t>E</m:t>
                        </m:r>
                      </m:e>
                      <m:sub>
                        <m:r>
                          <m:t>max</m:t>
                        </m:r>
                      </m:sub>
                    </m:sSub>
                    <m:r>
                      <m:t>,</m:t>
                    </m:r>
                    <m:r>
                      <m:rPr>
                        <m:sty m:val="p"/>
                      </m:rPr>
                      <m:t>  </m:t>
                    </m:r>
                    <m:r>
                      <m:t>0≤</m:t>
                    </m:r>
                    <m:sSub>
                      <m:e>
                        <m:r>
                          <m:t>c</m:t>
                        </m:r>
                      </m:e>
                      <m:sub>
                        <m:r>
                          <m:t>t</m:t>
                        </m:r>
                      </m:sub>
                    </m:sSub>
                    <m:r>
                      <m:t>,</m:t>
                    </m:r>
                    <m:sSub>
                      <m:e>
                        <m:r>
                          <m:t>s</m:t>
                        </m:r>
                      </m:e>
                      <m:sub>
                        <m:r>
                          <m:t>t</m:t>
                        </m:r>
                      </m:sub>
                    </m:sSub>
                    <m:r>
                      <m:t>≤</m:t>
                    </m:r>
                    <m:sSub>
                      <m:e>
                        <m:r>
                          <m:t>P</m:t>
                        </m:r>
                      </m:e>
                      <m:sub>
                        <m:r>
                          <m:t>max</m:t>
                        </m:r>
                      </m:sub>
                    </m:sSub>
                    <m:r>
                      <m:t>Δt,</m:t>
                    </m:r>
                  </m:e>
                  <m:e>
                    <m:r>
                      <m:t>∀t</m:t>
                    </m:r>
                  </m:e>
                </m:mr>
              </m:m>
            </m:e>
          </m:d>
        </m:oMath>
      </m:oMathPara>
      <w:r>
        <w:rPr>
          <w:rFonts w:ascii="Cambria Math" w:hAnsi="Cambria Math"/>
          <w:sz w:val="19"/>
        </w:rPr>
        <w:t xml:space="preserve">  (6)</w:t>
      </w:r>
    </w:p>
    <w:p>
      <w:pPr/>
      <w:r>
        <w:rPr>
          <w:rFonts w:ascii="宋体" w:hAnsi="宋体" w:eastAsia="宋体"/>
          <w:sz w:val="21"/>
        </w:rPr>
        <w:t xml:space="preserve">其中 </w:t>
      </w:r>
      <m:oMath>
        <m:sSub>
          <m:e>
            <m:r>
              <m:t>q</m:t>
            </m:r>
          </m:e>
          <m:sub>
            <m:r>
              <m:t>t</m:t>
            </m:r>
          </m:sub>
        </m:sSub>
      </m:oMath>
      <w:r>
        <w:rPr>
          <w:rFonts w:ascii="宋体" w:hAnsi="宋体" w:eastAsia="宋体"/>
          <w:sz w:val="21"/>
        </w:rPr>
        <w:t xml:space="preserve"> 使光伏分配与供需平衡均能按等式核对；本算例最优弃光量为 0。末行的首尾闭合 </w:t>
      </w:r>
      <m:oMath>
        <m:sSub>
          <m:e>
            <m:r>
              <m:t>E</m:t>
            </m:r>
          </m:e>
          <m:sub>
            <m:r>
              <m:t>T</m:t>
            </m:r>
          </m:sub>
        </m:sSub>
        <m:r>
          <m:t>=</m:t>
        </m:r>
        <m:sSub>
          <m:e>
            <m:r>
              <m:t>E</m:t>
            </m:r>
          </m:e>
          <m:sub>
            <m:r>
              <m:t>0</m:t>
            </m:r>
          </m:sub>
        </m:sSub>
      </m:oMath>
      <w:r>
        <w:rPr>
          <w:rFonts w:ascii="宋体" w:hAnsi="宋体" w:eastAsia="宋体"/>
          <w:sz w:val="21"/>
        </w:rPr>
        <w:t xml:space="preserve"> 是问题一特有的日内约束。该线性规划子问题由 HiGHS 求得全局最优解。</w:t>
      </w:r>
    </w:p>
    <w:p>
      <w:pPr>
        <w:pStyle w:val="Heading2"/>
        <w:ind w:firstLine="0"/>
      </w:pPr>
      <w:r>
        <w:rPr>
          <w:rFonts w:ascii="黑体" w:hAnsi="黑体" w:eastAsia="黑体"/>
          <w:sz w:val="26"/>
        </w:rPr>
        <w:t>5.3 最优解的几何结构</w:t>
      </w:r>
    </w:p>
    <w:p>
      <w:pPr/>
      <w:r>
        <w:rPr>
          <w:rFonts w:ascii="宋体" w:hAnsi="宋体" w:eastAsia="宋体"/>
          <w:sz w:val="21"/>
        </w:rPr>
        <w:t>在给出数值前，先说明该问线性规划的几何结构。图 7 以二维凸多边形说明可行域与最优点的关系，属于概念示意，并非由本算例数值计算得到的相邻两段精确投影；在当前参数与求解精度下目标值稳定，但不据此声称决策向量唯一。</w:t>
      </w:r>
    </w:p>
    <w:p>
      <w:pPr>
        <w:keepNext w:val="1"/>
        <w:ind w:firstLine="0"/>
        <w:jc w:val="center"/>
      </w:pPr>
      <w:r>
        <w:drawing>
          <wp:inline xmlns:a="http://schemas.openxmlformats.org/drawingml/2006/main" xmlns:pic="http://schemas.openxmlformats.org/drawingml/2006/picture">
            <wp:extent cx="4248000" cy="3243340"/>
            <wp:docPr id="6" name="Picture 6" descr="线性费用在凸可行域顶点取得最优"/>
            <wp:cNvGraphicFramePr>
              <a:graphicFrameLocks noChangeAspect="1"/>
            </wp:cNvGraphicFramePr>
            <a:graphic>
              <a:graphicData uri="http://schemas.openxmlformats.org/drawingml/2006/picture">
                <pic:pic>
                  <pic:nvPicPr>
                    <pic:cNvPr id="0" name="tikz_feasible_q1.png"/>
                    <pic:cNvPicPr/>
                  </pic:nvPicPr>
                  <pic:blipFill>
                    <a:blip r:embed="rId16"/>
                    <a:stretch>
                      <a:fillRect/>
                    </a:stretch>
                  </pic:blipFill>
                  <pic:spPr>
                    <a:xfrm>
                      <a:off x="0" y="0"/>
                      <a:ext cx="4248000" cy="3243340"/>
                    </a:xfrm>
                    <a:prstGeom prst="rect"/>
                  </pic:spPr>
                </pic:pic>
              </a:graphicData>
            </a:graphic>
          </wp:inline>
        </w:drawing>
      </w:r>
    </w:p>
    <w:p>
      <w:pPr>
        <w:pStyle w:val="Caption"/>
        <w:spacing w:after="100"/>
        <w:ind w:firstLine="0"/>
        <w:jc w:val="center"/>
      </w:pPr>
      <w:r>
        <w:rPr>
          <w:rFonts w:ascii="宋体" w:hAnsi="宋体" w:eastAsia="宋体"/>
          <w:sz w:val="18"/>
        </w:rPr>
        <w:t>图 7 相邻两段可行域示意</w:t>
      </w:r>
    </w:p>
    <w:p>
      <w:pPr/>
      <w:r>
        <w:rPr>
          <w:rFonts w:ascii="宋体" w:hAnsi="宋体" w:eastAsia="宋体"/>
          <w:sz w:val="21"/>
        </w:rPr>
        <w:t xml:space="preserve">图 7 用多边形边界概括线性约束共同限定决策范围的作用；具体可行域由式 (6) 的全部约束决定，图中边界仅作几何示意。目标函数 </w:t>
      </w:r>
      <m:oMath>
        <m:r>
          <m:t>∑</m:t>
        </m:r>
        <m:sSub>
          <m:e>
            <m:r>
              <m:t>p</m:t>
            </m:r>
          </m:e>
          <m:sub>
            <m:r>
              <m:t>t</m:t>
            </m:r>
          </m:sub>
        </m:sSub>
        <m:sSub>
          <m:e>
            <m:r>
              <m:t>x</m:t>
            </m:r>
          </m:e>
          <m:sub>
            <m:r>
              <m:t>t</m:t>
            </m:r>
          </m:sub>
        </m:sSub>
      </m:oMath>
      <w:r>
        <w:rPr>
          <w:rFonts w:ascii="宋体" w:hAnsi="宋体" w:eastAsia="宋体"/>
          <w:sz w:val="21"/>
        </w:rPr>
        <w:t xml:space="preserve"> 是线性的，其等费用线是一族平行直线；当等费用线平移到与可行域相切时，存在某个顶点达到最优值，也可能有整条边上的点同为最优。这就是线性规划"存在顶点最优解"的几何本质，也说明问题一不存在局部最优陷阱、解对初值不敏感。储电量轨迹本身则被上下界夹在一条水平走廊内（图 8），且因充电按 </w:t>
      </w:r>
      <m:oMath>
        <m:sSub>
          <m:e>
            <m:r>
              <m:t>η</m:t>
            </m:r>
          </m:e>
          <m:sub>
            <m:r>
              <m:t>c</m:t>
            </m:r>
          </m:sub>
        </m:sSub>
        <m:bar>
          <m:barPr>
            <m:pos m:val="top"/>
          </m:barPr>
          <m:e>
            <m:r>
              <m:t>c</m:t>
            </m:r>
          </m:e>
        </m:bar>
      </m:oMath>
      <w:r>
        <w:rPr>
          <w:rFonts w:ascii="宋体" w:hAnsi="宋体" w:eastAsia="宋体"/>
          <w:sz w:val="21"/>
        </w:rPr>
        <w:t xml:space="preserve"> 计入、放电按 </w:t>
      </w:r>
      <m:oMath>
        <m:f>
          <m:fPr>
            <m:type m:val="lin"/>
          </m:fPr>
          <m:num>
            <m:bar>
              <m:barPr>
                <m:pos m:val="top"/>
              </m:barPr>
              <m:e>
                <m:r>
                  <m:t>s</m:t>
                </m:r>
              </m:e>
            </m:bar>
          </m:num>
          <m:den>
            <m:sSub>
              <m:e>
                <m:r>
                  <m:t>η</m:t>
                </m:r>
              </m:e>
              <m:sub>
                <m:r>
                  <m:t>d</m:t>
                </m:r>
              </m:sub>
            </m:sSub>
          </m:den>
        </m:f>
      </m:oMath>
      <w:r>
        <w:rPr>
          <w:rFonts w:ascii="宋体" w:hAnsi="宋体" w:eastAsia="宋体"/>
          <w:sz w:val="21"/>
        </w:rPr>
        <w:t xml:space="preserve"> 扣除，单段向上与向下的可达幅度并不对称。</w:t>
      </w:r>
    </w:p>
    <w:p>
      <w:pPr>
        <w:keepNext w:val="1"/>
        <w:ind w:firstLine="0"/>
        <w:jc w:val="center"/>
      </w:pPr>
      <w:r>
        <w:drawing>
          <wp:inline xmlns:a="http://schemas.openxmlformats.org/drawingml/2006/main" xmlns:pic="http://schemas.openxmlformats.org/drawingml/2006/picture">
            <wp:extent cx="4248000" cy="2547937"/>
            <wp:docPr id="7" name="Picture 7" descr="可行储能轨迹受走廊、斜率和闭合三重约束"/>
            <wp:cNvGraphicFramePr>
              <a:graphicFrameLocks noChangeAspect="1"/>
            </wp:cNvGraphicFramePr>
            <a:graphic>
              <a:graphicData uri="http://schemas.openxmlformats.org/drawingml/2006/picture">
                <pic:pic>
                  <pic:nvPicPr>
                    <pic:cNvPr id="0" name="tikz_soc_corridor.png"/>
                    <pic:cNvPicPr/>
                  </pic:nvPicPr>
                  <pic:blipFill>
                    <a:blip r:embed="rId17"/>
                    <a:stretch>
                      <a:fillRect/>
                    </a:stretch>
                  </pic:blipFill>
                  <pic:spPr>
                    <a:xfrm>
                      <a:off x="0" y="0"/>
                      <a:ext cx="4248000" cy="2547937"/>
                    </a:xfrm>
                    <a:prstGeom prst="rect"/>
                  </pic:spPr>
                </pic:pic>
              </a:graphicData>
            </a:graphic>
          </wp:inline>
        </w:drawing>
      </w:r>
    </w:p>
    <w:p>
      <w:pPr>
        <w:pStyle w:val="Caption"/>
        <w:spacing w:after="100"/>
        <w:ind w:firstLine="0"/>
        <w:jc w:val="center"/>
      </w:pPr>
      <w:r>
        <w:rPr>
          <w:rFonts w:ascii="宋体" w:hAnsi="宋体" w:eastAsia="宋体"/>
          <w:sz w:val="18"/>
        </w:rPr>
        <w:t>图 8 储电量可行走廊示意</w:t>
      </w:r>
    </w:p>
    <w:p>
      <w:pPr/>
      <w:r>
        <w:rPr>
          <w:rFonts w:ascii="宋体" w:hAnsi="宋体" w:eastAsia="宋体"/>
          <w:sz w:val="21"/>
        </w:rPr>
        <w:t>从任一时刻出发，单段储电量的涨落幅度受充放功率上限限制形成一个可达锥（图 8）；由于放电要除以效率、充电要乘以效率，向下可达幅度略大于向上，这一不对称正是往返 19% 损耗在状态空间中的体现。问题一要求首尾等高，因此轨迹两端必须落在走廊的同一高度，全天的充放安排必须自洽闭合。</w:t>
      </w:r>
    </w:p>
    <w:p>
      <w:pPr>
        <w:pStyle w:val="Heading2"/>
        <w:ind w:firstLine="0"/>
      </w:pPr>
      <w:r>
        <w:rPr>
          <w:rFonts w:ascii="黑体" w:hAnsi="黑体" w:eastAsia="黑体"/>
          <w:sz w:val="26"/>
        </w:rPr>
        <w:t>5.4 最优调度与套利机理</w:t>
      </w:r>
    </w:p>
    <w:p>
      <w:pPr/>
      <w:r>
        <w:rPr>
          <w:rFonts w:ascii="宋体" w:hAnsi="宋体" w:eastAsia="宋体"/>
          <w:sz w:val="21"/>
        </w:rPr>
        <w:t>求解得全天最优购电费 35126.95 元。图 9 展示逐段供需构成与电价的对应关系。</w:t>
      </w:r>
    </w:p>
    <w:p>
      <w:pPr>
        <w:keepNext w:val="1"/>
        <w:ind w:firstLine="0"/>
        <w:jc w:val="center"/>
      </w:pPr>
      <w:r>
        <w:drawing>
          <wp:inline xmlns:a="http://schemas.openxmlformats.org/drawingml/2006/main" xmlns:pic="http://schemas.openxmlformats.org/drawingml/2006/picture">
            <wp:extent cx="5265000" cy="3685500"/>
            <wp:docPr id="8" name="Picture 8" descr="储能把谷时购电转移到峰时使用"/>
            <wp:cNvGraphicFramePr>
              <a:graphicFrameLocks noChangeAspect="1"/>
            </wp:cNvGraphicFramePr>
            <a:graphic>
              <a:graphicData uri="http://schemas.openxmlformats.org/drawingml/2006/picture">
                <pic:pic>
                  <pic:nvPicPr>
                    <pic:cNvPr id="0" name="fig_q1_dispatch_stack.png"/>
                    <pic:cNvPicPr/>
                  </pic:nvPicPr>
                  <pic:blipFill>
                    <a:blip r:embed="rId18"/>
                    <a:stretch>
                      <a:fillRect/>
                    </a:stretch>
                  </pic:blipFill>
                  <pic:spPr>
                    <a:xfrm>
                      <a:off x="0" y="0"/>
                      <a:ext cx="5265000" cy="3685500"/>
                    </a:xfrm>
                    <a:prstGeom prst="rect"/>
                  </pic:spPr>
                </pic:pic>
              </a:graphicData>
            </a:graphic>
          </wp:inline>
        </w:drawing>
      </w:r>
    </w:p>
    <w:p>
      <w:pPr>
        <w:pStyle w:val="Caption"/>
        <w:spacing w:after="100"/>
        <w:ind w:firstLine="0"/>
        <w:jc w:val="center"/>
      </w:pPr>
      <w:r>
        <w:rPr>
          <w:rFonts w:ascii="宋体" w:hAnsi="宋体" w:eastAsia="宋体"/>
          <w:sz w:val="18"/>
        </w:rPr>
        <w:t>图 9 问题一最优调度构成</w:t>
      </w:r>
    </w:p>
    <w:p>
      <w:pPr/>
      <w:r>
        <w:rPr>
          <w:rFonts w:ascii="宋体" w:hAnsi="宋体" w:eastAsia="宋体"/>
          <w:sz w:val="21"/>
        </w:rPr>
        <w:t>堆叠显示每段的负载、光伏、购电与储能充放电，并在下方对应电价（图 9）。可以看到储能在凌晨与午间两个价格低谷集中充电（图中橙色负向区域），在早高峰 6:00 前后与晚高峰 17:00–20:00 集中放电顶替购电，使计划购电量整体从高价时段前移到低价时段。储能的这一"低充高放"把负载沿价格轴重新分配，全天购电费从无储能直接购电的基线 48052.05 元降到 35126.95 元，节省 12925.10 元、降幅 26.90%。图 10 从储电量相位进一步印证这一机理。</w:t>
      </w:r>
    </w:p>
    <w:p>
      <w:pPr>
        <w:keepNext w:val="1"/>
        <w:ind w:firstLine="0"/>
        <w:jc w:val="center"/>
      </w:pPr>
      <w:r>
        <w:drawing>
          <wp:inline xmlns:a="http://schemas.openxmlformats.org/drawingml/2006/main" xmlns:pic="http://schemas.openxmlformats.org/drawingml/2006/picture">
            <wp:extent cx="5265000" cy="2983500"/>
            <wp:docPr id="9" name="Picture 9" descr="电池在低价段充电并在高价段释放"/>
            <wp:cNvGraphicFramePr>
              <a:graphicFrameLocks noChangeAspect="1"/>
            </wp:cNvGraphicFramePr>
            <a:graphic>
              <a:graphicData uri="http://schemas.openxmlformats.org/drawingml/2006/picture">
                <pic:pic>
                  <pic:nvPicPr>
                    <pic:cNvPr id="0" name="fig_q1_soc_price.png"/>
                    <pic:cNvPicPr/>
                  </pic:nvPicPr>
                  <pic:blipFill>
                    <a:blip r:embed="rId19"/>
                    <a:stretch>
                      <a:fillRect/>
                    </a:stretch>
                  </pic:blipFill>
                  <pic:spPr>
                    <a:xfrm>
                      <a:off x="0" y="0"/>
                      <a:ext cx="5265000" cy="2983500"/>
                    </a:xfrm>
                    <a:prstGeom prst="rect"/>
                  </pic:spPr>
                </pic:pic>
              </a:graphicData>
            </a:graphic>
          </wp:inline>
        </w:drawing>
      </w:r>
    </w:p>
    <w:p>
      <w:pPr>
        <w:pStyle w:val="Caption"/>
        <w:spacing w:after="100"/>
        <w:ind w:firstLine="0"/>
        <w:jc w:val="center"/>
      </w:pPr>
      <w:r>
        <w:rPr>
          <w:rFonts w:ascii="宋体" w:hAnsi="宋体" w:eastAsia="宋体"/>
          <w:sz w:val="18"/>
        </w:rPr>
        <w:t>图 10 问题一储电量与电价相位</w:t>
      </w:r>
    </w:p>
    <w:p>
      <w:pPr/>
      <w:r>
        <w:rPr>
          <w:rFonts w:ascii="宋体" w:hAnsi="宋体" w:eastAsia="宋体"/>
          <w:sz w:val="21"/>
        </w:rPr>
        <w:t xml:space="preserve">将储电量轨迹与电价叠画后可见，充电时段（浅橙底）几乎全部落在价格低位、放电时段（浅灰底）落在价格高位，二者相位互补（图 10）。储电量全程紧贴 </w:t>
      </w:r>
      <m:oMath>
        <m:d>
          <m:dPr>
            <m:begChr m:val="["/>
            <m:sepChr m:val=","/>
            <m:endChr m:val="]"/>
          </m:dPr>
          <m:e>
            <m:r>
              <m:t>1200</m:t>
            </m:r>
          </m:e>
          <m:e>
            <m:r>
              <m:t>10800</m:t>
            </m:r>
          </m:e>
        </m:d>
      </m:oMath>
      <w:r>
        <w:rPr>
          <w:rFonts w:ascii="宋体" w:hAnsi="宋体" w:eastAsia="宋体"/>
          <w:sz w:val="21"/>
        </w:rPr>
        <w:t xml:space="preserve"> kWh 双边界运行，摆幅比达 1.0，即储能把 9600 kWh 的可用容量用满，日循环量（放电总量）达 16799.94 kWh，接近可用容量的 1.75 倍，说明典型日的价差足够大，储能一天完成约一轮半的完整充放循环才是最优。这也解释了为何后文波动电价下价差扩大时循环量会进一步上升。</w:t>
      </w:r>
    </w:p>
    <w:p>
      <w:pPr>
        <w:pStyle w:val="Heading2"/>
        <w:ind w:firstLine="0"/>
      </w:pPr>
      <w:r>
        <w:rPr>
          <w:rFonts w:ascii="黑体" w:hAnsi="黑体" w:eastAsia="黑体"/>
          <w:sz w:val="26"/>
        </w:rPr>
        <w:t>5.5 效率损耗分解与读法灵敏度</w:t>
      </w:r>
    </w:p>
    <w:p>
      <w:pPr/>
      <w:r>
        <w:rPr>
          <w:rFonts w:ascii="宋体" w:hAnsi="宋体" w:eastAsia="宋体"/>
          <w:sz w:val="21"/>
        </w:rPr>
        <w:t>节省的 12925.10 元并非全部可得，其中一部分被储能往返损耗吞掉。图 11 用瀑布图分解这一结构。</w:t>
      </w:r>
    </w:p>
    <w:p>
      <w:pPr>
        <w:keepNext w:val="1"/>
        <w:ind w:firstLine="0"/>
        <w:jc w:val="center"/>
      </w:pPr>
      <w:r>
        <w:drawing>
          <wp:inline xmlns:a="http://schemas.openxmlformats.org/drawingml/2006/main" xmlns:pic="http://schemas.openxmlformats.org/drawingml/2006/picture">
            <wp:extent cx="5265000" cy="2895750"/>
            <wp:docPr id="10" name="Picture 10" descr="节省主要来自峰谷套利并扣除效率损耗"/>
            <wp:cNvGraphicFramePr>
              <a:graphicFrameLocks noChangeAspect="1"/>
            </wp:cNvGraphicFramePr>
            <a:graphic>
              <a:graphicData uri="http://schemas.openxmlformats.org/drawingml/2006/picture">
                <pic:pic>
                  <pic:nvPicPr>
                    <pic:cNvPr id="0" name="fig_q1_savings_waterfall.png"/>
                    <pic:cNvPicPr/>
                  </pic:nvPicPr>
                  <pic:blipFill>
                    <a:blip r:embed="rId20"/>
                    <a:stretch>
                      <a:fillRect/>
                    </a:stretch>
                  </pic:blipFill>
                  <pic:spPr>
                    <a:xfrm>
                      <a:off x="0" y="0"/>
                      <a:ext cx="5265000" cy="2895750"/>
                    </a:xfrm>
                    <a:prstGeom prst="rect"/>
                  </pic:spPr>
                </pic:pic>
              </a:graphicData>
            </a:graphic>
          </wp:inline>
        </w:drawing>
      </w:r>
    </w:p>
    <w:p>
      <w:pPr>
        <w:pStyle w:val="Caption"/>
        <w:spacing w:after="100"/>
        <w:ind w:firstLine="0"/>
        <w:jc w:val="center"/>
      </w:pPr>
      <w:r>
        <w:rPr>
          <w:rFonts w:ascii="宋体" w:hAnsi="宋体" w:eastAsia="宋体"/>
          <w:sz w:val="18"/>
        </w:rPr>
        <w:t>图 11 问题一费用瀑布分解</w:t>
      </w:r>
    </w:p>
    <w:p>
      <w:pPr/>
      <w:r>
        <w:rPr>
          <w:rFonts w:ascii="宋体" w:hAnsi="宋体" w:eastAsia="宋体"/>
          <w:sz w:val="21"/>
        </w:rPr>
        <w:t>从无储能基线 48052.05 元出发（图 11），储能套利本可节省更多，但单向效率 0.9（往返 0.81）造成 2749.86 元不可回收损耗，故最优费用停在 35126.95 元；若储能无损（</w:t>
      </w:r>
      <m:oMath>
        <m:r>
          <m:t>η=1</m:t>
        </m:r>
      </m:oMath>
      <w:r>
        <w:rPr>
          <w:rFonts w:ascii="宋体" w:hAnsi="宋体" w:eastAsia="宋体"/>
          <w:sz w:val="21"/>
        </w:rPr>
        <w:t>），下界为 32377.09 元。可见 35126.95 元恰好介于基线与理想下界之间且高于理想值，方向自洽——这也从侧面验证了模型中放电"除以效率"的处理正确，若误写成"乘以效率"则最优费用会低于理想下界，违反物理。</w:t>
      </w:r>
    </w:p>
    <w:p>
      <w:pPr/>
      <w:r>
        <w:rPr>
          <w:rFonts w:ascii="宋体" w:hAnsi="宋体" w:eastAsia="宋体"/>
          <w:sz w:val="21"/>
        </w:rPr>
        <w:t>题面"充放电效率为 90%"未明确是单向还是往返，属关键歧义，故对五种读法做灵敏度分析（图 12）。</w:t>
      </w:r>
    </w:p>
    <w:p>
      <w:pPr>
        <w:keepNext w:val="1"/>
        <w:ind w:firstLine="0"/>
        <w:jc w:val="center"/>
      </w:pPr>
      <w:r>
        <w:drawing>
          <wp:inline xmlns:a="http://schemas.openxmlformats.org/drawingml/2006/main" xmlns:pic="http://schemas.openxmlformats.org/drawingml/2006/picture">
            <wp:extent cx="5265000" cy="2632500"/>
            <wp:docPr id="11" name="Picture 11" descr="结论对合理效率扰动保持稳定"/>
            <wp:cNvGraphicFramePr>
              <a:graphicFrameLocks noChangeAspect="1"/>
            </wp:cNvGraphicFramePr>
            <a:graphic>
              <a:graphicData uri="http://schemas.openxmlformats.org/drawingml/2006/picture">
                <pic:pic>
                  <pic:nvPicPr>
                    <pic:cNvPr id="0" name="fig_eta_sensitivity.png"/>
                    <pic:cNvPicPr/>
                  </pic:nvPicPr>
                  <pic:blipFill>
                    <a:blip r:embed="rId21"/>
                    <a:stretch>
                      <a:fillRect/>
                    </a:stretch>
                  </pic:blipFill>
                  <pic:spPr>
                    <a:xfrm>
                      <a:off x="0" y="0"/>
                      <a:ext cx="5265000" cy="2632500"/>
                    </a:xfrm>
                    <a:prstGeom prst="rect"/>
                  </pic:spPr>
                </pic:pic>
              </a:graphicData>
            </a:graphic>
          </wp:inline>
        </w:drawing>
      </w:r>
    </w:p>
    <w:p>
      <w:pPr>
        <w:pStyle w:val="Caption"/>
        <w:spacing w:after="100"/>
        <w:ind w:firstLine="0"/>
        <w:jc w:val="center"/>
      </w:pPr>
      <w:r>
        <w:rPr>
          <w:rFonts w:ascii="宋体" w:hAnsi="宋体" w:eastAsia="宋体"/>
          <w:sz w:val="18"/>
        </w:rPr>
        <w:t>图 12 效率读法灵敏度</w:t>
      </w:r>
    </w:p>
    <w:p>
      <w:pPr/>
      <w:r>
        <w:rPr>
          <w:rFonts w:ascii="宋体" w:hAnsi="宋体" w:eastAsia="宋体"/>
          <w:sz w:val="21"/>
        </w:rPr>
        <w:t xml:space="preserve">以相对理想下界 32377.09 元的费用增量为横轴，五种读法一并列出（图 12）：主读法"充放各 0.9"得 35126.95 元，"往返 0.9"（即单向 </w:t>
      </w:r>
      <m:oMath>
        <m:rad>
          <m:radPr>
            <m:degHide m:val="on"/>
          </m:radPr>
          <m:deg/>
          <m:e>
            <m:r>
              <m:t>0.9</m:t>
            </m:r>
          </m:e>
        </m:rad>
        <m:r>
          <m:t>≈0.949</m:t>
        </m:r>
      </m:oMath>
      <w:r>
        <w:rPr>
          <w:rFonts w:ascii="宋体" w:hAnsi="宋体" w:eastAsia="宋体"/>
          <w:sz w:val="21"/>
        </w:rPr>
        <w:t>）得 33801.50 元，二者相差 3.92%；"仅充侧 0.9"33416.53 元、"仅放侧 0.9"34168.61 元、"理想"32377.09 元。五种读法全部高于理想下界、方向一致，且主读法是四种含损读法中最保守（费用最高、最不高估储能收益）的一个。故全文以"充放各 0.9"为主读法，并在此并列报告其余读法，供不同解读的评委核对。</w:t>
      </w:r>
    </w:p>
    <w:p>
      <w:pPr>
        <w:pStyle w:val="Heading1"/>
        <w:ind w:firstLine="0"/>
      </w:pPr>
      <w:r>
        <w:rPr>
          <w:rFonts w:ascii="黑体" w:hAnsi="黑体" w:eastAsia="黑体"/>
          <w:sz w:val="30"/>
        </w:rPr>
        <w:t>六、问题二：场景近似日前计划器与因果实时执行策略</w:t>
      </w:r>
    </w:p>
    <w:p>
      <w:pPr>
        <w:pStyle w:val="Heading2"/>
        <w:ind w:firstLine="0"/>
      </w:pPr>
      <w:r>
        <w:rPr>
          <w:rFonts w:ascii="黑体" w:hAnsi="黑体" w:eastAsia="黑体"/>
          <w:sz w:val="26"/>
        </w:rPr>
        <w:t>6.1 从确定性到随机：新增了什么</w:t>
      </w:r>
    </w:p>
    <w:p>
      <w:pPr/>
      <w:r>
        <w:rPr>
          <w:rFonts w:ascii="宋体" w:hAnsi="宋体" w:eastAsia="宋体"/>
          <w:sz w:val="21"/>
        </w:rPr>
        <w:t>问题二把信息结构从"全知"改为"日前"：0:00 必须锁定全天计划购电量，而当日真实负载与光伏此刻未知，只能依赖预测；日内缺口由 5 倍电价的紧急购电弥补。本文用历史残差场景评估 0:00 购电计划，再用因果规则逐时段执行实际储能。由于场景内优化动作并非现场动作，后文把该结构称为"场景近似日前计划器 + 因果实时执行策略"。</w:t>
      </w:r>
    </w:p>
    <w:p>
      <w:pPr>
        <w:pStyle w:val="Heading2"/>
        <w:ind w:firstLine="0"/>
      </w:pPr>
      <w:r>
        <w:rPr>
          <w:rFonts w:ascii="黑体" w:hAnsi="黑体" w:eastAsia="黑体"/>
          <w:sz w:val="26"/>
        </w:rPr>
        <w:t>6.2 负载预测器：按日型分组取近期均值</w:t>
      </w:r>
    </w:p>
    <w:p>
      <w:pPr/>
      <w:r>
        <w:rPr>
          <w:rFonts w:ascii="宋体" w:hAnsi="宋体" w:eastAsia="宋体"/>
          <w:sz w:val="21"/>
        </w:rPr>
        <w:t xml:space="preserve">预测的信息集严格截止于当日 0:00，只能用日期早于 </w:t>
      </w:r>
      <m:oMath>
        <m:r>
          <m:t>d</m:t>
        </m:r>
      </m:oMath>
      <w:r>
        <w:rPr>
          <w:rFonts w:ascii="宋体" w:hAnsi="宋体" w:eastAsia="宋体"/>
          <w:sz w:val="21"/>
        </w:rPr>
        <w:t xml:space="preserve"> 的历史。基于第四章的双日型结构，对目标日 </w:t>
      </w:r>
      <m:oMath>
        <m:r>
          <m:t>d</m:t>
        </m:r>
      </m:oMath>
      <w:r>
        <w:rPr>
          <w:rFonts w:ascii="宋体" w:hAnsi="宋体" w:eastAsia="宋体"/>
          <w:sz w:val="21"/>
        </w:rPr>
        <w:t xml:space="preserve"> 先判定其日型 </w:t>
      </w:r>
      <m:oMath>
        <m:r>
          <m:t>r(d)∈{</m:t>
        </m:r>
        <m:r>
          <m:rPr>
            <m:nor/>
          </m:rPr>
          <m:t>low</m:t>
        </m:r>
        <m:r>
          <m:t>,</m:t>
        </m:r>
        <m:r>
          <m:rPr>
            <m:nor/>
          </m:rPr>
          <m:t>high</m:t>
        </m:r>
        <m:r>
          <m:t>}</m:t>
        </m:r>
      </m:oMath>
      <w:r>
        <w:rPr>
          <w:rFonts w:ascii="宋体" w:hAnsi="宋体" w:eastAsia="宋体"/>
          <w:sz w:val="21"/>
        </w:rPr>
        <w:t xml:space="preserve">，再取同日型最近 </w:t>
      </w:r>
      <m:oMath>
        <m:r>
          <m:t>W=4</m:t>
        </m:r>
      </m:oMath>
      <w:r>
        <w:rPr>
          <w:rFonts w:ascii="宋体" w:hAnsi="宋体" w:eastAsia="宋体"/>
          <w:sz w:val="21"/>
        </w:rPr>
        <w:t xml:space="preserve"> 天同时段负载的均值作为点预测：</w:t>
      </w:r>
    </w:p>
    <w:p>
      <w:pPr>
        <w:keepLines/>
        <w:spacing w:before="80" w:after="80"/>
        <w:ind w:firstLine="0"/>
        <w:jc w:val="center"/>
      </w:pPr>
      <m:oMathPara>
        <m:oMath>
          <m:sSub>
            <m:e>
              <m:acc>
                <m:accPr>
                  <m:chr m:val="̂"/>
                </m:accPr>
                <m:e>
                  <m:r>
                    <m:t>L</m:t>
                  </m:r>
                </m:e>
              </m:acc>
            </m:e>
            <m:sub>
              <m:r>
                <m:t>d,t</m:t>
              </m:r>
            </m:sub>
          </m:sSub>
          <m:r>
            <m:t>=</m:t>
          </m:r>
          <m:f>
            <m:fPr>
              <m:type m:val="bar"/>
            </m:fPr>
            <m:num>
              <m:r>
                <m:t>1</m:t>
              </m:r>
            </m:num>
            <m:den>
              <m:d>
                <m:dPr>
                  <m:begChr m:val="|"/>
                  <m:sepChr m:val=""/>
                  <m:endChr m:val="|"/>
                </m:dPr>
                <m:e>
                  <m:sSub>
                    <m:e>
                      <m:r>
                        <m:t>𝒮</m:t>
                      </m:r>
                    </m:e>
                    <m:sub>
                      <m:r>
                        <m:t>d</m:t>
                      </m:r>
                    </m:sub>
                  </m:sSub>
                </m:e>
              </m:d>
            </m:den>
          </m:f>
          <m:nary>
            <m:naryPr>
              <m:chr m:val="∑"/>
              <m:limLoc m:val="undOvr"/>
              <m:grow m:val="1"/>
              <m:subHide m:val="off"/>
              <m:supHide m:val="on"/>
            </m:naryPr>
            <m:sub>
              <m:r>
                <m:t>j∈</m:t>
              </m:r>
              <m:sSub>
                <m:e>
                  <m:r>
                    <m:t>𝒮</m:t>
                  </m:r>
                </m:e>
                <m:sub>
                  <m:r>
                    <m:t>d</m:t>
                  </m:r>
                </m:sub>
              </m:sSub>
            </m:sub>
            <m:sup/>
            <m:e>
              <m:sSub>
                <m:e>
                  <m:r>
                    <m:t>L</m:t>
                  </m:r>
                </m:e>
                <m:sub>
                  <m:r>
                    <m:t>j,t</m:t>
                  </m:r>
                </m:sub>
              </m:sSub>
            </m:e>
          </m:nary>
          <m:r>
            <m:t>,</m:t>
          </m:r>
          <m:sSub>
            <m:e>
              <m:r>
                <m:t>𝒮</m:t>
              </m:r>
            </m:e>
            <m:sub>
              <m:r>
                <m:t>d</m:t>
              </m:r>
            </m:sub>
          </m:sSub>
          <m:r>
            <m:t>={</m:t>
          </m:r>
          <m:r>
            <m:t>j&lt;d:</m:t>
          </m:r>
          <m:r>
            <m:rPr>
              <m:sty m:val="p"/>
            </m:rPr>
            <m:t> </m:t>
          </m:r>
          <m:r>
            <m:t>r(j)=r(d)</m:t>
          </m:r>
          <m:r>
            <m:t>}</m:t>
          </m:r>
          <m:r>
            <m:rPr>
              <m:sty m:val="p"/>
            </m:rPr>
            <m:t> 中最近 </m:t>
          </m:r>
          <m:r>
            <m:t>W</m:t>
          </m:r>
          <m:r>
            <m:rPr>
              <m:nor/>
            </m:rPr>
            <m:t> 天</m:t>
          </m:r>
        </m:oMath>
      </m:oMathPara>
      <w:r>
        <w:rPr>
          <w:rFonts w:ascii="Cambria Math" w:hAnsi="Cambria Math"/>
          <w:sz w:val="19"/>
        </w:rPr>
        <w:t xml:space="preserve">  (7)</w:t>
      </w:r>
    </w:p>
    <w:p>
      <w:pPr/>
      <w:r>
        <w:rPr>
          <w:rFonts w:ascii="宋体" w:hAnsi="宋体" w:eastAsia="宋体"/>
          <w:sz w:val="21"/>
        </w:rPr>
        <w:t>光伏点预测则由附件 3 的 0:00 整点预报按 §6.5 的分段线性插值得到；相较于统计或机器学习类光伏功率预测方法</w:t>
      </w:r>
      <w:r>
        <w:rPr>
          <w:rFonts w:ascii="宋体" w:hAnsi="宋体" w:eastAsia="宋体"/>
          <w:sz w:val="21"/>
          <w:vertAlign w:val="superscript"/>
        </w:rPr>
        <w:t>[9]</w:t>
      </w:r>
      <w:r>
        <w:rPr>
          <w:rFonts w:ascii="宋体" w:hAnsi="宋体" w:eastAsia="宋体"/>
          <w:sz w:val="21"/>
        </w:rPr>
        <w:t>，本文直接采用题目提供的官方整点预报，回避了预报建模本身的误差引入。图 13 比较了五种负载预测设定在 334 天留出期上的平均绝对误差。</w:t>
      </w:r>
    </w:p>
    <w:p>
      <w:pPr>
        <w:keepNext w:val="1"/>
        <w:ind w:firstLine="0"/>
        <w:jc w:val="center"/>
      </w:pPr>
      <w:r>
        <w:drawing>
          <wp:inline xmlns:a="http://schemas.openxmlformats.org/drawingml/2006/main" xmlns:pic="http://schemas.openxmlformats.org/drawingml/2006/picture">
            <wp:extent cx="5265000" cy="2808000"/>
            <wp:docPr id="12" name="Picture 12" descr="日型分组预测器在两类日型上更稳健"/>
            <wp:cNvGraphicFramePr>
              <a:graphicFrameLocks noChangeAspect="1"/>
            </wp:cNvGraphicFramePr>
            <a:graphic>
              <a:graphicData uri="http://schemas.openxmlformats.org/drawingml/2006/picture">
                <pic:pic>
                  <pic:nvPicPr>
                    <pic:cNvPr id="0" name="fig_predictor_mae_bar.png"/>
                    <pic:cNvPicPr/>
                  </pic:nvPicPr>
                  <pic:blipFill>
                    <a:blip r:embed="rId22"/>
                    <a:stretch>
                      <a:fillRect/>
                    </a:stretch>
                  </pic:blipFill>
                  <pic:spPr>
                    <a:xfrm>
                      <a:off x="0" y="0"/>
                      <a:ext cx="5265000" cy="2808000"/>
                    </a:xfrm>
                    <a:prstGeom prst="rect"/>
                  </pic:spPr>
                </pic:pic>
              </a:graphicData>
            </a:graphic>
          </wp:inline>
        </w:drawing>
      </w:r>
    </w:p>
    <w:p>
      <w:pPr>
        <w:pStyle w:val="Caption"/>
        <w:spacing w:after="100"/>
        <w:ind w:firstLine="0"/>
        <w:jc w:val="center"/>
      </w:pPr>
      <w:r>
        <w:rPr>
          <w:rFonts w:ascii="宋体" w:hAnsi="宋体" w:eastAsia="宋体"/>
          <w:sz w:val="18"/>
        </w:rPr>
        <w:t>图 13 负载预测器误差对比</w:t>
      </w:r>
    </w:p>
    <w:p>
      <w:pPr/>
      <w:r>
        <w:rPr>
          <w:rFonts w:ascii="宋体" w:hAnsi="宋体" w:eastAsia="宋体"/>
          <w:sz w:val="21"/>
        </w:rPr>
        <w:t xml:space="preserve">三种"同日型"设定（最近 4 天、最近 8 天、上一天）的 MAE 分别为 137.52、148.34、157.09 kW，均在 160 kW 以内（图 13）；而两种"跨日型"设定（最近 7 天、全历史）骤升到 781.21 与 803.65 kW，量级相差约 5 倍。这一悬殊差距正是第四章双日型结构的直接后果：跨日型平均会把低负载日与高负载日混在一起，产生约 4.5 万 kWh/天 的系统偏差。同日型三种设定中，最近 4 天最优；结合后文敏感度分析，W=3 时为 137.31 kW，与 W=4 仅差 0.15%，本文取 </w:t>
      </w:r>
      <m:oMath>
        <m:r>
          <m:t>W=4</m:t>
        </m:r>
      </m:oMath>
      <w:r>
        <w:rPr>
          <w:rFonts w:ascii="宋体" w:hAnsi="宋体" w:eastAsia="宋体"/>
          <w:sz w:val="21"/>
        </w:rPr>
        <w:t>，兼顾精度与稳健。</w:t>
      </w:r>
    </w:p>
    <w:p>
      <w:pPr>
        <w:pStyle w:val="Heading2"/>
        <w:ind w:firstLine="0"/>
      </w:pPr>
      <w:r>
        <w:rPr>
          <w:rFonts w:ascii="黑体" w:hAnsi="黑体" w:eastAsia="黑体"/>
          <w:sz w:val="26"/>
        </w:rPr>
        <w:t>6.3 信息边界与场景近似日前模型</w:t>
      </w:r>
    </w:p>
    <w:p>
      <w:pPr/>
      <w:r>
        <w:rPr>
          <w:rFonts w:ascii="宋体" w:hAnsi="宋体" w:eastAsia="宋体"/>
          <w:sz w:val="21"/>
        </w:rPr>
        <w:t xml:space="preserve">问题二各时刻可使用的信息如下。0:00 不能读取当天未来实际 </w:t>
      </w:r>
      <m:oMath>
        <m:sSub>
          <m:e>
            <m:r>
              <m:t>L</m:t>
            </m:r>
          </m:e>
          <m:sub>
            <m:r>
              <m:t>d,t</m:t>
            </m:r>
          </m:sub>
        </m:sSub>
        <m:r>
          <m:t>,</m:t>
        </m:r>
        <m:sSub>
          <m:e>
            <m:r>
              <m:t>G</m:t>
            </m:r>
          </m:e>
          <m:sub>
            <m:r>
              <m:t>d,t</m:t>
            </m:r>
          </m:sub>
        </m:sSub>
      </m:oMath>
      <w:r>
        <w:rPr>
          <w:rFonts w:ascii="宋体" w:hAnsi="宋体" w:eastAsia="宋体"/>
          <w:sz w:val="21"/>
        </w:rPr>
        <w:t>；6:00、12:00、18:00 不再改动购电计划，只能用截至当前已实现的负载、光伏与 SOC 执行储能、紧急购电和弃光。</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shd w:fill="D9EAF7"/>
          </w:tcPr>
          <w:p>
            <w:pPr>
              <w:spacing w:line="240" w:lineRule="auto"/>
              <w:ind w:firstLine="0"/>
              <w:jc w:val="center"/>
            </w:pPr>
            <w:r>
              <w:rPr>
                <w:rFonts w:ascii="黑体" w:hAnsi="黑体" w:eastAsia="黑体"/>
                <w:b/>
                <w:sz w:val="17"/>
              </w:rPr>
              <w:t>时刻</w:t>
            </w:r>
          </w:p>
        </w:tc>
        <w:tc>
          <w:tcPr>
            <w:tcW w:type="dxa" w:w="3137"/>
            <w:vAlign w:val="center"/>
            <w:shd w:fill="D9EAF7"/>
          </w:tcPr>
          <w:p>
            <w:pPr>
              <w:spacing w:line="240" w:lineRule="auto"/>
              <w:ind w:firstLine="0"/>
              <w:jc w:val="center"/>
            </w:pPr>
            <w:r>
              <w:rPr>
                <w:rFonts w:ascii="黑体" w:hAnsi="黑体" w:eastAsia="黑体"/>
                <w:b/>
                <w:sz w:val="17"/>
              </w:rPr>
              <w:t>可使用的信息</w:t>
            </w:r>
          </w:p>
        </w:tc>
        <w:tc>
          <w:tcPr>
            <w:tcW w:type="dxa" w:w="3137"/>
            <w:vAlign w:val="center"/>
            <w:shd w:fill="D9EAF7"/>
          </w:tcPr>
          <w:p>
            <w:pPr>
              <w:spacing w:line="240" w:lineRule="auto"/>
              <w:ind w:firstLine="0"/>
              <w:jc w:val="center"/>
            </w:pPr>
            <w:r>
              <w:rPr>
                <w:rFonts w:ascii="黑体" w:hAnsi="黑体" w:eastAsia="黑体"/>
                <w:b/>
                <w:sz w:val="17"/>
              </w:rPr>
              <w:t>可作的决策</w:t>
            </w:r>
          </w:p>
        </w:tc>
      </w:tr>
      <w:tr>
        <w:tc>
          <w:tcPr>
            <w:tcW w:type="dxa" w:w="3137"/>
            <w:vAlign w:val="center"/>
          </w:tcPr>
          <w:p>
            <w:pPr>
              <w:spacing w:line="240" w:lineRule="auto"/>
              <w:ind w:firstLine="0"/>
              <w:jc w:val="left"/>
            </w:pPr>
            <w:r>
              <w:rPr>
                <w:rFonts w:ascii="宋体" w:hAnsi="宋体" w:eastAsia="宋体"/>
                <w:sz w:val="17"/>
              </w:rPr>
              <w:t>0:00</w:t>
            </w:r>
          </w:p>
        </w:tc>
        <w:tc>
          <w:tcPr>
            <w:tcW w:type="dxa" w:w="3137"/>
            <w:vAlign w:val="center"/>
          </w:tcPr>
          <w:p>
            <w:pPr>
              <w:spacing w:line="240" w:lineRule="auto"/>
              <w:ind w:firstLine="0"/>
              <w:jc w:val="left"/>
            </w:pPr>
            <m:oMath>
              <m:r>
                <m:t>j&lt;d</m:t>
              </m:r>
            </m:oMath>
            <w:r>
              <w:rPr>
                <w:rFonts w:ascii="宋体" w:hAnsi="宋体" w:eastAsia="宋体"/>
                <w:sz w:val="17"/>
              </w:rPr>
              <w:t xml:space="preserve"> 的历史 </w:t>
            </w:r>
            <m:oMath>
              <m:r>
                <m:t>L,G</m:t>
              </m:r>
            </m:oMath>
            <w:r>
              <w:rPr>
                <w:rFonts w:ascii="宋体" w:hAnsi="宋体" w:eastAsia="宋体"/>
                <w:sz w:val="17"/>
              </w:rPr>
              <w:t xml:space="preserve"> 与残差、当日 0:00 已发布的 </w:t>
            </w:r>
            <m:oMath>
              <m:acc>
                <m:accPr>
                  <m:chr m:val="̂"/>
                </m:accPr>
                <m:e>
                  <m:r>
                    <m:t>G</m:t>
                  </m:r>
                </m:e>
              </m:acc>
            </m:oMath>
            <w:r>
              <w:rPr>
                <w:rFonts w:ascii="宋体" w:hAnsi="宋体" w:eastAsia="宋体"/>
                <w:sz w:val="17"/>
              </w:rPr>
              <w:t xml:space="preserve">、日型、固定电价 </w:t>
            </w:r>
            <m:oMath>
              <m:sSub>
                <m:e>
                  <m:r>
                    <m:t>p</m:t>
                  </m:r>
                </m:e>
                <m:sub>
                  <m:r>
                    <m:t>t</m:t>
                  </m:r>
                </m:sub>
              </m:sSub>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 xml:space="preserve">锁定全天计划 </w:t>
            </w:r>
            <m:oMath>
              <m:sSub>
                <m:e>
                  <m:r>
                    <m:t>x</m:t>
                  </m:r>
                </m:e>
                <m:sub>
                  <m:r>
                    <m:t>d,t</m:t>
                  </m:r>
                </m:sub>
              </m:sSub>
            </m:oMath>
            <w:r>
              <w:rPr>
                <w:rFonts w:ascii="宋体" w:hAnsi="宋体" w:eastAsia="宋体"/>
                <w:sz w:val="17"/>
              </w:rPr>
              <w:t>，生成日前参考轨迹</w:t>
            </w:r>
          </w:p>
        </w:tc>
      </w:tr>
      <w:tr>
        <w:tc>
          <w:tcPr>
            <w:tcW w:type="dxa" w:w="3137"/>
            <w:vAlign w:val="center"/>
          </w:tcPr>
          <w:p>
            <w:pPr>
              <w:spacing w:line="240" w:lineRule="auto"/>
              <w:ind w:firstLine="0"/>
              <w:jc w:val="left"/>
            </w:pPr>
            <w:r>
              <w:rPr>
                <w:rFonts w:ascii="宋体" w:hAnsi="宋体" w:eastAsia="宋体"/>
                <w:sz w:val="17"/>
              </w:rPr>
              <w:t>6:00</w:t>
            </w:r>
          </w:p>
        </w:tc>
        <w:tc>
          <w:tcPr>
            <w:tcW w:type="dxa" w:w="3137"/>
            <w:vAlign w:val="center"/>
          </w:tcPr>
          <w:p>
            <w:pPr>
              <w:spacing w:line="240" w:lineRule="auto"/>
              <w:ind w:firstLine="0"/>
              <w:jc w:val="left"/>
            </w:pPr>
            <w:r>
              <w:rPr>
                <w:rFonts w:ascii="宋体" w:hAnsi="宋体" w:eastAsia="宋体"/>
                <w:sz w:val="17"/>
              </w:rPr>
              <w:t xml:space="preserve">0:00 计划、0:00～6:00 已实现 </w:t>
            </w:r>
            <m:oMath>
              <m:r>
                <m:t>L,G</m:t>
              </m:r>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仅因果执行，不重定全天计划</w:t>
            </w:r>
          </w:p>
        </w:tc>
      </w:tr>
      <w:tr>
        <w:tc>
          <w:tcPr>
            <w:tcW w:type="dxa" w:w="3137"/>
            <w:vAlign w:val="center"/>
          </w:tcPr>
          <w:p>
            <w:pPr>
              <w:spacing w:line="240" w:lineRule="auto"/>
              <w:ind w:firstLine="0"/>
              <w:jc w:val="left"/>
            </w:pPr>
            <w:r>
              <w:rPr>
                <w:rFonts w:ascii="宋体" w:hAnsi="宋体" w:eastAsia="宋体"/>
                <w:sz w:val="17"/>
              </w:rPr>
              <w:t>12:00</w:t>
            </w:r>
          </w:p>
        </w:tc>
        <w:tc>
          <w:tcPr>
            <w:tcW w:type="dxa" w:w="3137"/>
            <w:vAlign w:val="center"/>
          </w:tcPr>
          <w:p>
            <w:pPr>
              <w:spacing w:line="240" w:lineRule="auto"/>
              <w:ind w:firstLine="0"/>
              <w:jc w:val="left"/>
            </w:pPr>
            <w:r>
              <w:rPr>
                <w:rFonts w:ascii="宋体" w:hAnsi="宋体" w:eastAsia="宋体"/>
                <w:sz w:val="17"/>
              </w:rPr>
              <w:t xml:space="preserve">0:00 计划、0:00～12:00 已实现 </w:t>
            </w:r>
            <m:oMath>
              <m:r>
                <m:t>L,G</m:t>
              </m:r>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仅因果执行，不重定全天计划</w:t>
            </w:r>
          </w:p>
        </w:tc>
      </w:tr>
      <w:tr>
        <w:tc>
          <w:tcPr>
            <w:tcW w:type="dxa" w:w="3137"/>
            <w:vAlign w:val="center"/>
          </w:tcPr>
          <w:p>
            <w:pPr>
              <w:spacing w:line="240" w:lineRule="auto"/>
              <w:ind w:firstLine="0"/>
              <w:jc w:val="left"/>
            </w:pPr>
            <w:r>
              <w:rPr>
                <w:rFonts w:ascii="宋体" w:hAnsi="宋体" w:eastAsia="宋体"/>
                <w:sz w:val="17"/>
              </w:rPr>
              <w:t>18:00</w:t>
            </w:r>
          </w:p>
        </w:tc>
        <w:tc>
          <w:tcPr>
            <w:tcW w:type="dxa" w:w="3137"/>
            <w:vAlign w:val="center"/>
          </w:tcPr>
          <w:p>
            <w:pPr>
              <w:spacing w:line="240" w:lineRule="auto"/>
              <w:ind w:firstLine="0"/>
              <w:jc w:val="left"/>
            </w:pPr>
            <w:r>
              <w:rPr>
                <w:rFonts w:ascii="宋体" w:hAnsi="宋体" w:eastAsia="宋体"/>
                <w:sz w:val="17"/>
              </w:rPr>
              <w:t xml:space="preserve">0:00 计划、0:00～18:00 已实现 </w:t>
            </w:r>
            <m:oMath>
              <m:r>
                <m:t>L,G</m:t>
              </m:r>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仅因果执行，不重定全天计划</w:t>
            </w:r>
          </w:p>
        </w:tc>
      </w:tr>
    </w:tbl>
    <w:p>
      <w:pPr>
        <w:spacing w:after="0"/>
      </w:pPr>
    </w:p>
    <w:p>
      <w:pPr/>
      <w:r>
        <w:rPr>
          <w:rFonts w:ascii="宋体" w:hAnsi="宋体" w:eastAsia="宋体"/>
          <w:sz w:val="21"/>
        </w:rPr>
        <w:t xml:space="preserve">用同日型最近 </w:t>
      </w:r>
      <m:oMath>
        <m:r>
          <m:t>K=8</m:t>
        </m:r>
      </m:oMath>
      <w:r>
        <w:rPr>
          <w:rFonts w:ascii="宋体" w:hAnsi="宋体" w:eastAsia="宋体"/>
          <w:sz w:val="21"/>
        </w:rPr>
        <w:t xml:space="preserve"> 天的预测残差构造等概率场景 </w:t>
      </w:r>
      <m:oMath>
        <m:d>
          <m:dPr>
            <m:begChr m:val="{"/>
            <m:sepChr m:val=""/>
            <m:endChr m:val="}"/>
          </m:dPr>
          <m:e>
            <m:r>
              <m:t>(</m:t>
            </m:r>
            <m:sSubSup>
              <m:e>
                <m:r>
                  <m:t>L</m:t>
                </m:r>
              </m:e>
              <m:sub>
                <m:r>
                  <m:t>t</m:t>
                </m:r>
              </m:sub>
              <m:sup>
                <m:r>
                  <m:t>ω</m:t>
                </m:r>
              </m:sup>
            </m:sSubSup>
            <m:r>
              <m:t>,</m:t>
            </m:r>
            <m:sSubSup>
              <m:e>
                <m:r>
                  <m:t>G</m:t>
                </m:r>
              </m:e>
              <m:sub>
                <m:r>
                  <m:t>t</m:t>
                </m:r>
              </m:sub>
              <m:sup>
                <m:r>
                  <m:t>ω</m:t>
                </m:r>
              </m:sup>
            </m:sSubSup>
            <m:r>
              <m:t>)</m:t>
            </m:r>
          </m:e>
        </m:d>
      </m:oMath>
      <w:r>
        <w:rPr>
          <w:rFonts w:ascii="宋体" w:hAnsi="宋体" w:eastAsia="宋体"/>
          <w:sz w:val="21"/>
        </w:rPr>
        <w:t xml:space="preserve">。第一阶段计划 </w:t>
      </w:r>
      <m:oMath>
        <m:sSub>
          <m:e>
            <m:r>
              <m:t>x</m:t>
            </m:r>
          </m:e>
          <m:sub>
            <m:r>
              <m:t>t</m:t>
            </m:r>
          </m:sub>
        </m:sSub>
      </m:oMath>
      <w:r>
        <w:rPr>
          <w:rFonts w:ascii="宋体" w:hAnsi="宋体" w:eastAsia="宋体"/>
          <w:sz w:val="21"/>
        </w:rPr>
        <w:t xml:space="preserve"> 对所有场景共用；场景内变量 </w:t>
      </w:r>
      <m:oMath>
        <m:sSubSup>
          <m:e>
            <m:r>
              <m:t>c</m:t>
            </m:r>
          </m:e>
          <m:sub>
            <m:r>
              <m:t>t</m:t>
            </m:r>
          </m:sub>
          <m:sup>
            <m:r>
              <m:t>ω</m:t>
            </m:r>
          </m:sup>
        </m:sSubSup>
        <m:r>
          <m:t>,</m:t>
        </m:r>
        <m:sSubSup>
          <m:e>
            <m:r>
              <m:t>s</m:t>
            </m:r>
          </m:e>
          <m:sub>
            <m:r>
              <m:t>t</m:t>
            </m:r>
          </m:sub>
          <m:sup>
            <m:r>
              <m:t>ω</m:t>
            </m:r>
          </m:sup>
        </m:sSubSup>
        <m:r>
          <m:t>,</m:t>
        </m:r>
        <m:sSubSup>
          <m:e>
            <m:r>
              <m:t>u</m:t>
            </m:r>
          </m:e>
          <m:sub>
            <m:r>
              <m:t>t</m:t>
            </m:r>
          </m:sub>
          <m:sup>
            <m:r>
              <m:t>ω</m:t>
            </m:r>
          </m:sup>
        </m:sSubSup>
        <m:r>
          <m:t>,</m:t>
        </m:r>
        <m:sSubSup>
          <m:e>
            <m:r>
              <m:t>q</m:t>
            </m:r>
          </m:e>
          <m:sub>
            <m:r>
              <m:t>t</m:t>
            </m:r>
          </m:sub>
          <m:sup>
            <m:r>
              <m:t>ω</m:t>
            </m:r>
          </m:sup>
        </m:sSubSup>
      </m:oMath>
      <w:r>
        <w:rPr>
          <w:rFonts w:ascii="宋体" w:hAnsi="宋体" w:eastAsia="宋体"/>
          <w:sz w:val="21"/>
        </w:rPr>
        <w:t xml:space="preserve"> 只用于评估计划成本：</w:t>
      </w:r>
    </w:p>
    <w:p>
      <w:pPr>
        <w:keepLines/>
        <w:spacing w:before="80" w:after="80"/>
        <w:ind w:firstLine="0"/>
        <w:jc w:val="center"/>
      </w:pPr>
      <m:oMathPara>
        <m:oMath>
          <m:sSub>
            <m:e>
              <m:r>
                <m:t>min</m:t>
              </m:r>
            </m:e>
            <m:sub>
              <m:r>
                <m:t>x,</m:t>
              </m:r>
              <m:sSup>
                <m:e>
                  <m:r>
                    <m:t>c</m:t>
                  </m:r>
                </m:e>
                <m:sup>
                  <m:r>
                    <m:t>ω</m:t>
                  </m:r>
                </m:sup>
              </m:sSup>
              <m:r>
                <m:t>,</m:t>
              </m:r>
              <m:sSup>
                <m:e>
                  <m:r>
                    <m:t>s</m:t>
                  </m:r>
                </m:e>
                <m:sup>
                  <m:r>
                    <m:t>ω</m:t>
                  </m:r>
                </m:sup>
              </m:sSup>
              <m:r>
                <m:t>,</m:t>
              </m:r>
              <m:sSup>
                <m:e>
                  <m:r>
                    <m:t>u</m:t>
                  </m:r>
                </m:e>
                <m:sup>
                  <m:r>
                    <m:t>ω</m:t>
                  </m:r>
                </m:sup>
              </m:sSup>
              <m:r>
                <m:t>,</m:t>
              </m:r>
              <m:sSup>
                <m:e>
                  <m:r>
                    <m:t>q</m:t>
                  </m:r>
                </m:e>
                <m:sup>
                  <m:r>
                    <m:t>ω</m:t>
                  </m:r>
                </m:sup>
              </m:sSup>
            </m:sub>
          </m:sSub>
          <m:r>
            <m:rPr>
              <m:sty m:val="p"/>
            </m:rPr>
            <m:t> </m:t>
          </m:r>
          <m:nary>
            <m:naryPr>
              <m:chr m:val="∑"/>
              <m:limLoc m:val="undOvr"/>
              <m:grow m:val="1"/>
              <m:subHide m:val="off"/>
              <m:supHide m:val="on"/>
            </m:naryPr>
            <m:sub>
              <m:r>
                <m:t>t</m:t>
              </m:r>
            </m:sub>
            <m:sup/>
            <m:e>
              <m:sSub>
                <m:e>
                  <m:r>
                    <m:t>p</m:t>
                  </m:r>
                </m:e>
                <m:sub>
                  <m:r>
                    <m:t>t</m:t>
                  </m:r>
                </m:sub>
              </m:sSub>
            </m:e>
          </m:nary>
          <m:sSub>
            <m:e>
              <m:r>
                <m:t>x</m:t>
              </m:r>
            </m:e>
            <m:sub>
              <m:r>
                <m:t>t</m:t>
              </m:r>
            </m:sub>
          </m:sSub>
          <m:r>
            <m:t>+</m:t>
          </m:r>
          <m:f>
            <m:fPr>
              <m:type m:val="bar"/>
            </m:fPr>
            <m:num>
              <m:r>
                <m:t>1</m:t>
              </m:r>
            </m:num>
            <m:den>
              <m:r>
                <m:t>K</m:t>
              </m:r>
            </m:den>
          </m:f>
          <m:nary>
            <m:naryPr>
              <m:chr m:val="∑"/>
              <m:limLoc m:val="undOvr"/>
              <m:grow m:val="1"/>
              <m:subHide m:val="off"/>
              <m:supHide m:val="off"/>
            </m:naryPr>
            <m:sub>
              <m:r>
                <m:t>ω=1</m:t>
              </m:r>
            </m:sub>
            <m:sup>
              <m:r>
                <m:t>K</m:t>
              </m:r>
            </m:sup>
            <m:e>
              <m:nary>
                <m:naryPr>
                  <m:chr m:val="∑"/>
                  <m:limLoc m:val="undOvr"/>
                  <m:grow m:val="1"/>
                  <m:subHide m:val="off"/>
                  <m:supHide m:val="on"/>
                </m:naryPr>
                <m:sub>
                  <m:r>
                    <m:t>t</m:t>
                  </m:r>
                </m:sub>
                <m:sup/>
                <m:e>
                  <m:r>
                    <m:t>κ</m:t>
                  </m:r>
                </m:e>
              </m:nary>
            </m:e>
          </m:nary>
          <m:sSub>
            <m:e>
              <m:r>
                <m:t>p</m:t>
              </m:r>
            </m:e>
            <m:sub>
              <m:r>
                <m:t>t</m:t>
              </m:r>
            </m:sub>
          </m:sSub>
          <m:sSubSup>
            <m:e>
              <m:r>
                <m:t>u</m:t>
              </m:r>
            </m:e>
            <m:sub>
              <m:r>
                <m:t>t</m:t>
              </m:r>
            </m:sub>
            <m:sup>
              <m:r>
                <m:t>ω</m:t>
              </m:r>
            </m:sup>
          </m:sSubSup>
        </m:oMath>
      </m:oMathPara>
      <w:r>
        <w:rPr>
          <w:rFonts w:ascii="Cambria Math" w:hAnsi="Cambria Math"/>
          <w:sz w:val="19"/>
        </w:rPr>
        <w:t xml:space="preserve">  (8)</w:t>
      </w:r>
    </w:p>
    <w:p>
      <w:pPr>
        <w:keepLines/>
        <w:spacing w:before="80" w:after="80"/>
        <w:ind w:firstLine="0"/>
        <w:jc w:val="center"/>
      </w:pPr>
      <m:oMathPara>
        <m:oMath>
          <m:r>
            <m:rPr>
              <m:nor/>
            </m:rPr>
            <m:t>s.t.</m:t>
          </m:r>
          <m:sSub>
            <m:e>
              <m:r>
                <m:t>x</m:t>
              </m:r>
            </m:e>
            <m:sub>
              <m:r>
                <m:t>t</m:t>
              </m:r>
            </m:sub>
          </m:sSub>
          <m:r>
            <m:t>+</m:t>
          </m:r>
          <m:sSubSup>
            <m:e>
              <m:r>
                <m:t>u</m:t>
              </m:r>
            </m:e>
            <m:sub>
              <m:r>
                <m:t>t</m:t>
              </m:r>
            </m:sub>
            <m:sup>
              <m:r>
                <m:t>ω</m:t>
              </m:r>
            </m:sup>
          </m:sSubSup>
          <m:r>
            <m:t>+</m:t>
          </m:r>
          <m:sSubSup>
            <m:e>
              <m:r>
                <m:t>G</m:t>
              </m:r>
            </m:e>
            <m:sub>
              <m:r>
                <m:t>t</m:t>
              </m:r>
            </m:sub>
            <m:sup>
              <m:r>
                <m:t>ω</m:t>
              </m:r>
            </m:sup>
          </m:sSubSup>
          <m:r>
            <m:t>+</m:t>
          </m:r>
          <m:sSubSup>
            <m:e>
              <m:r>
                <m:t>s</m:t>
              </m:r>
            </m:e>
            <m:sub>
              <m:r>
                <m:t>t</m:t>
              </m:r>
            </m:sub>
            <m:sup>
              <m:r>
                <m:t>ω</m:t>
              </m:r>
            </m:sup>
          </m:sSubSup>
          <m:r>
            <m:t>=</m:t>
          </m:r>
          <m:sSubSup>
            <m:e>
              <m:r>
                <m:t>L</m:t>
              </m:r>
            </m:e>
            <m:sub>
              <m:r>
                <m:t>t</m:t>
              </m:r>
            </m:sub>
            <m:sup>
              <m:r>
                <m:t>ω</m:t>
              </m:r>
            </m:sup>
          </m:sSubSup>
          <m:r>
            <m:t>+</m:t>
          </m:r>
          <m:sSubSup>
            <m:e>
              <m:r>
                <m:t>c</m:t>
              </m:r>
            </m:e>
            <m:sub>
              <m:r>
                <m:t>t</m:t>
              </m:r>
            </m:sub>
            <m:sup>
              <m:r>
                <m:t>ω</m:t>
              </m:r>
            </m:sup>
          </m:sSubSup>
          <m:r>
            <m:t>+</m:t>
          </m:r>
          <m:sSubSup>
            <m:e>
              <m:r>
                <m:t>q</m:t>
              </m:r>
            </m:e>
            <m:sub>
              <m:r>
                <m:t>t</m:t>
              </m:r>
            </m:sub>
            <m:sup>
              <m:r>
                <m:t>ω</m:t>
              </m:r>
            </m:sup>
          </m:sSubSup>
          <m:r>
            <m:t>,</m:t>
          </m:r>
          <m:sSubSup>
            <m:e>
              <m:r>
                <m:t>E</m:t>
              </m:r>
            </m:e>
            <m:sub>
              <m:r>
                <m:t>t</m:t>
              </m:r>
            </m:sub>
            <m:sup>
              <m:r>
                <m:t>ω</m:t>
              </m:r>
            </m:sup>
          </m:sSubSup>
          <m:r>
            <m:t>=</m:t>
          </m:r>
          <m:sSubSup>
            <m:e>
              <m:r>
                <m:t>E</m:t>
              </m:r>
            </m:e>
            <m:sub>
              <m:r>
                <m:t>t−1</m:t>
              </m:r>
            </m:sub>
            <m:sup>
              <m:r>
                <m:t>ω</m:t>
              </m:r>
            </m:sup>
          </m:sSubSup>
          <m:r>
            <m:t>+</m:t>
          </m:r>
          <m:sSub>
            <m:e>
              <m:r>
                <m:t>η</m:t>
              </m:r>
            </m:e>
            <m:sub>
              <m:r>
                <m:t>c</m:t>
              </m:r>
            </m:sub>
          </m:sSub>
          <m:sSubSup>
            <m:e>
              <m:r>
                <m:t>c</m:t>
              </m:r>
            </m:e>
            <m:sub>
              <m:r>
                <m:t>t</m:t>
              </m:r>
            </m:sub>
            <m:sup>
              <m:r>
                <m:t>ω</m:t>
              </m:r>
            </m:sup>
          </m:sSubSup>
          <m:r>
            <m:t>−</m:t>
          </m:r>
          <m:sSubSup>
            <m:e>
              <m:r>
                <m:t>s</m:t>
              </m:r>
            </m:e>
            <m:sub>
              <m:r>
                <m:t>t</m:t>
              </m:r>
            </m:sub>
            <m:sup>
              <m:r>
                <m:t>ω</m:t>
              </m:r>
            </m:sup>
          </m:sSubSup>
          <m:r>
            <m:t>/</m:t>
          </m:r>
          <m:sSub>
            <m:e>
              <m:r>
                <m:t>η</m:t>
              </m:r>
            </m:e>
            <m:sub>
              <m:r>
                <m:t>d</m:t>
              </m:r>
            </m:sub>
          </m:sSub>
          <m:r>
            <m:t>,</m:t>
          </m:r>
          <m:r>
            <m:t>∀t,ω</m:t>
          </m:r>
        </m:oMath>
      </m:oMathPara>
      <w:r>
        <w:rPr>
          <w:rFonts w:ascii="Cambria Math" w:hAnsi="Cambria Math"/>
          <w:sz w:val="19"/>
        </w:rPr>
        <w:t xml:space="preserve">  (9)</w:t>
      </w:r>
    </w:p>
    <w:p>
      <w:pPr/>
      <w:r>
        <w:rPr>
          <w:rFonts w:ascii="宋体" w:hAnsi="宋体" w:eastAsia="宋体"/>
          <w:sz w:val="21"/>
        </w:rPr>
        <w:t xml:space="preserve">并对每个场景施加储电量区间、功率上限与共同实际期初 SOC。末日场景同时满足 </w:t>
      </w:r>
      <m:oMath>
        <m:sSub>
          <m:e>
            <m:r>
              <m:t>E</m:t>
            </m:r>
          </m:e>
          <m:sub>
            <m:r>
              <m:rPr>
                <m:sty m:val="p"/>
              </m:rPr>
              <m:t>term</m:t>
            </m:r>
          </m:sub>
        </m:sSub>
        <m:r>
          <m:t>=6000</m:t>
        </m:r>
      </m:oMath>
      <w:r>
        <w:rPr>
          <w:rFonts w:ascii="宋体" w:hAnsi="宋体" w:eastAsia="宋体"/>
          <w:sz w:val="21"/>
        </w:rPr>
        <w:t xml:space="preserve"> kWh。报童临界分位 </w:t>
      </w:r>
      <m:oMath>
        <m:r>
          <m:t>(κ−1)/κ=0.8</m:t>
        </m:r>
      </m:oMath>
      <w:r>
        <w:rPr>
          <w:rFonts w:ascii="宋体" w:hAnsi="宋体" w:eastAsia="宋体"/>
          <w:sz w:val="21"/>
        </w:rPr>
        <w:t xml:space="preserve"> 只给出计划偏向较高分位的方向判断；储能耦合、有限场景和后续因果执行使 </w:t>
      </w:r>
      <m:oMath>
        <m:r>
          <m:t>m=0.03</m:t>
        </m:r>
      </m:oMath>
      <w:r>
        <w:rPr>
          <w:rFonts w:ascii="宋体" w:hAnsi="宋体" w:eastAsia="宋体"/>
          <w:sz w:val="21"/>
        </w:rPr>
        <w:t xml:space="preserve"> 不能被解释为对 0.8 分位的精确验证。</w:t>
      </w:r>
    </w:p>
    <w:p>
      <w:pPr>
        <w:pStyle w:val="Heading2"/>
        <w:ind w:firstLine="0"/>
      </w:pPr>
      <w:r>
        <w:rPr>
          <w:rFonts w:ascii="黑体" w:hAnsi="黑体" w:eastAsia="黑体"/>
          <w:sz w:val="26"/>
        </w:rPr>
        <w:t>6.4 因果实时调度：结算不得预知未来</w:t>
      </w:r>
    </w:p>
    <w:p>
      <w:pPr/>
      <w:r>
        <w:rPr>
          <w:rFonts w:ascii="宋体" w:hAnsi="宋体" w:eastAsia="宋体"/>
          <w:sz w:val="21"/>
        </w:rPr>
        <w:t xml:space="preserve">场景内动作在各自场景中使用整日曲线，不能直接执行。实际运行在第 </w:t>
      </w:r>
      <m:oMath>
        <m:r>
          <m:t>t</m:t>
        </m:r>
      </m:oMath>
      <w:r>
        <w:rPr>
          <w:rFonts w:ascii="宋体" w:hAnsi="宋体" w:eastAsia="宋体"/>
          <w:sz w:val="21"/>
        </w:rPr>
        <w:t xml:space="preserve"> 段只读取当前 SOC、已锁定的 </w:t>
      </w:r>
      <m:oMath>
        <m:sSub>
          <m:e>
            <m:r>
              <m:t>x</m:t>
            </m:r>
          </m:e>
          <m:sub>
            <m:r>
              <m:t>t</m:t>
            </m:r>
          </m:sub>
        </m:sSub>
      </m:oMath>
      <w:r>
        <w:rPr>
          <w:rFonts w:ascii="宋体" w:hAnsi="宋体" w:eastAsia="宋体"/>
          <w:sz w:val="21"/>
        </w:rPr>
        <w:t xml:space="preserve">、日前参考轨迹以及当段已实现 </w:t>
      </w:r>
      <m:oMath>
        <m:sSub>
          <m:e>
            <m:r>
              <m:t>L</m:t>
            </m:r>
          </m:e>
          <m:sub>
            <m:r>
              <m:t>t</m:t>
            </m:r>
          </m:sub>
        </m:sSub>
        <m:r>
          <m:t>,</m:t>
        </m:r>
        <m:sSub>
          <m:e>
            <m:r>
              <m:t>G</m:t>
            </m:r>
          </m:e>
          <m:sub>
            <m:r>
              <m:t>t</m:t>
            </m:r>
          </m:sub>
        </m:sSub>
      </m:oMath>
      <w:r>
        <w:rPr>
          <w:rFonts w:ascii="宋体" w:hAnsi="宋体" w:eastAsia="宋体"/>
          <w:sz w:val="21"/>
        </w:rPr>
        <w:t xml:space="preserve">，再决定 </w:t>
      </w:r>
      <m:oMath>
        <m:sSub>
          <m:e>
            <m:r>
              <m:t>c</m:t>
            </m:r>
          </m:e>
          <m:sub>
            <m:r>
              <m:t>t</m:t>
            </m:r>
          </m:sub>
        </m:sSub>
        <m:r>
          <m:t>,</m:t>
        </m:r>
        <m:sSub>
          <m:e>
            <m:r>
              <m:t>s</m:t>
            </m:r>
          </m:e>
          <m:sub>
            <m:r>
              <m:t>t</m:t>
            </m:r>
          </m:sub>
        </m:sSub>
      </m:oMath>
      <w:r>
        <w:rPr>
          <w:rFonts w:ascii="宋体" w:hAnsi="宋体" w:eastAsia="宋体"/>
          <w:sz w:val="21"/>
        </w:rPr>
        <w:t xml:space="preserve">；缺口记为 </w:t>
      </w:r>
      <m:oMath>
        <m:sSub>
          <m:e>
            <m:r>
              <m:t>u</m:t>
            </m:r>
          </m:e>
          <m:sub>
            <m:r>
              <m:t>t</m:t>
            </m:r>
          </m:sub>
        </m:sSub>
      </m:oMath>
      <w:r>
        <w:rPr>
          <w:rFonts w:ascii="宋体" w:hAnsi="宋体" w:eastAsia="宋体"/>
          <w:sz w:val="21"/>
        </w:rPr>
        <w:t xml:space="preserve">，富余记为 </w:t>
      </w:r>
      <m:oMath>
        <m:sSub>
          <m:e>
            <m:r>
              <m:t>q</m:t>
            </m:r>
          </m:e>
          <m:sub>
            <m:r>
              <m:t>t</m:t>
            </m:r>
          </m:sub>
        </m:sSub>
      </m:oMath>
      <w:r>
        <w:rPr>
          <w:rFonts w:ascii="宋体" w:hAnsi="宋体" w:eastAsia="宋体"/>
          <w:sz w:val="21"/>
        </w:rPr>
        <w:t xml:space="preserve">，从而逐段满足 </w:t>
      </w:r>
      <m:oMath>
        <m:sSub>
          <m:e>
            <m:r>
              <m:t>x</m:t>
            </m:r>
          </m:e>
          <m:sub>
            <m:r>
              <m:t>t</m:t>
            </m:r>
          </m:sub>
        </m:sSub>
        <m:r>
          <m:t>+</m:t>
        </m:r>
        <m:sSub>
          <m:e>
            <m:r>
              <m:t>u</m:t>
            </m:r>
          </m:e>
          <m:sub>
            <m:r>
              <m:t>t</m:t>
            </m:r>
          </m:sub>
        </m:sSub>
        <m:r>
          <m:t>+</m:t>
        </m:r>
        <m:sSub>
          <m:e>
            <m:r>
              <m:t>G</m:t>
            </m:r>
          </m:e>
          <m:sub>
            <m:r>
              <m:t>t</m:t>
            </m:r>
          </m:sub>
        </m:sSub>
        <m:r>
          <m:t>+</m:t>
        </m:r>
        <m:sSub>
          <m:e>
            <m:r>
              <m:t>s</m:t>
            </m:r>
          </m:e>
          <m:sub>
            <m:r>
              <m:t>t</m:t>
            </m:r>
          </m:sub>
        </m:sSub>
        <m:r>
          <m:t>=</m:t>
        </m:r>
        <m:sSub>
          <m:e>
            <m:r>
              <m:t>L</m:t>
            </m:r>
          </m:e>
          <m:sub>
            <m:r>
              <m:t>t</m:t>
            </m:r>
          </m:sub>
        </m:sSub>
        <m:r>
          <m:t>+</m:t>
        </m:r>
        <m:sSub>
          <m:e>
            <m:r>
              <m:t>c</m:t>
            </m:r>
          </m:e>
          <m:sub>
            <m:r>
              <m:t>t</m:t>
            </m:r>
          </m:sub>
        </m:sSub>
        <m:r>
          <m:t>+</m:t>
        </m:r>
        <m:sSub>
          <m:e>
            <m:r>
              <m:t>q</m:t>
            </m:r>
          </m:e>
          <m:sub>
            <m:r>
              <m:t>t</m:t>
            </m:r>
          </m:sub>
        </m:sSub>
      </m:oMath>
      <w:r>
        <w:rPr>
          <w:rFonts w:ascii="宋体" w:hAnsi="宋体" w:eastAsia="宋体"/>
          <w:sz w:val="21"/>
        </w:rPr>
        <w:t xml:space="preserve">。该规则不读取 </w:t>
      </w:r>
      <m:oMath>
        <m:r>
          <m:t>t</m:t>
        </m:r>
      </m:oMath>
      <w:r>
        <w:rPr>
          <w:rFonts w:ascii="宋体" w:hAnsi="宋体" w:eastAsia="宋体"/>
          <w:sz w:val="21"/>
        </w:rPr>
        <w:t xml:space="preserve"> 之后的实际量，并用可达 SOC 走廊保证年末回到 6000 kWh。当前线性规划框架未把这一因果反馈规则完整嵌入场景优化，若要完全统一需引入显式多阶段策略类；本文未更换主算法，因此不把全年结果称为完整两阶段全局最优。</w:t>
      </w:r>
    </w:p>
    <w:p>
      <w:pPr>
        <w:pStyle w:val="Heading2"/>
        <w:ind w:firstLine="0"/>
      </w:pPr>
      <w:r>
        <w:rPr>
          <w:rFonts w:ascii="黑体" w:hAnsi="黑体" w:eastAsia="黑体"/>
          <w:sz w:val="26"/>
        </w:rPr>
        <w:t>6.5 备用裕度：U 形与内点最优</w:t>
      </w:r>
    </w:p>
    <w:p>
      <w:pPr/>
      <w:r>
        <w:rPr>
          <w:rFonts w:ascii="宋体" w:hAnsi="宋体" w:eastAsia="宋体"/>
          <w:sz w:val="21"/>
        </w:rPr>
        <w:t xml:space="preserve">为单独考察备用的作用，另设点预测标量裕度基线，与场景近似日前计划器区分。引入标量裕度 </w:t>
      </w:r>
      <m:oMath>
        <m:r>
          <m:t>m</m:t>
        </m:r>
      </m:oMath>
      <w:r>
        <w:rPr>
          <w:rFonts w:ascii="宋体" w:hAnsi="宋体" w:eastAsia="宋体"/>
          <w:sz w:val="21"/>
        </w:rPr>
        <w:t xml:space="preserve">，令计划目标净需求为 </w:t>
      </w:r>
      <m:oMath>
        <m:r>
          <m:t>(1+m)</m:t>
        </m:r>
        <m:sSub>
          <m:e>
            <m:acc>
              <m:accPr>
                <m:chr m:val="̂"/>
              </m:accPr>
              <m:e>
                <m:r>
                  <m:t>L</m:t>
                </m:r>
              </m:e>
            </m:acc>
          </m:e>
          <m:sub>
            <m:r>
              <m:t>d,t</m:t>
            </m:r>
          </m:sub>
        </m:sSub>
        <m:r>
          <m:t>−</m:t>
        </m:r>
        <m:sSub>
          <m:e>
            <m:acc>
              <m:accPr>
                <m:chr m:val="̂"/>
              </m:accPr>
              <m:e>
                <m:r>
                  <m:t>G</m:t>
                </m:r>
              </m:e>
            </m:acc>
          </m:e>
          <m:sub>
            <m:r>
              <m:t>d,t</m:t>
            </m:r>
          </m:sub>
        </m:sSub>
      </m:oMath>
      <w:r>
        <w:rPr>
          <w:rFonts w:ascii="宋体" w:hAnsi="宋体" w:eastAsia="宋体"/>
          <w:sz w:val="21"/>
        </w:rPr>
        <w:t xml:space="preserve">，在同一 334 天交付期扫描 </w:t>
      </w:r>
      <m:oMath>
        <m:r>
          <m:t>m</m:t>
        </m:r>
      </m:oMath>
      <w:r>
        <w:rPr>
          <w:rFonts w:ascii="宋体" w:hAnsi="宋体" w:eastAsia="宋体"/>
          <w:sz w:val="21"/>
        </w:rPr>
        <w:t xml:space="preserve"> 的总费用如图 14。</w:t>
      </w:r>
    </w:p>
    <w:p>
      <w:pPr>
        <w:keepNext w:val="1"/>
        <w:ind w:firstLine="0"/>
        <w:jc w:val="center"/>
      </w:pPr>
      <w:r>
        <w:drawing>
          <wp:inline xmlns:a="http://schemas.openxmlformats.org/drawingml/2006/main" xmlns:pic="http://schemas.openxmlformats.org/drawingml/2006/picture">
            <wp:extent cx="5400000" cy="2924167"/>
            <wp:docPr id="13" name="Picture 13" descr="当前候选网格的最优裕度为0.03；扫描与最终Q2执行口径应区分"/>
            <wp:cNvGraphicFramePr>
              <a:graphicFrameLocks noChangeAspect="1"/>
            </wp:cNvGraphicFramePr>
            <a:graphic>
              <a:graphicData uri="http://schemas.openxmlformats.org/drawingml/2006/picture">
                <pic:pic>
                  <pic:nvPicPr>
                    <pic:cNvPr id="0" name="fig_q2_margin_ucurve.png"/>
                    <pic:cNvPicPr/>
                  </pic:nvPicPr>
                  <pic:blipFill>
                    <a:blip r:embed="rId23"/>
                    <a:stretch>
                      <a:fillRect/>
                    </a:stretch>
                  </pic:blipFill>
                  <pic:spPr>
                    <a:xfrm>
                      <a:off x="0" y="0"/>
                      <a:ext cx="5400000" cy="2924167"/>
                    </a:xfrm>
                    <a:prstGeom prst="rect"/>
                  </pic:spPr>
                </pic:pic>
              </a:graphicData>
            </a:graphic>
          </wp:inline>
        </w:drawing>
      </w:r>
    </w:p>
    <w:p>
      <w:pPr>
        <w:pStyle w:val="Caption"/>
        <w:spacing w:after="100"/>
        <w:ind w:firstLine="0"/>
        <w:jc w:val="center"/>
      </w:pPr>
      <w:r>
        <w:rPr>
          <w:rFonts w:ascii="宋体" w:hAnsi="宋体" w:eastAsia="宋体"/>
          <w:sz w:val="18"/>
        </w:rPr>
        <w:t>图 14 点预测基线的裕度与风险权衡</w:t>
      </w:r>
    </w:p>
    <w:p>
      <w:pPr/>
      <w:r>
        <w:rPr>
          <w:rFonts w:ascii="宋体" w:hAnsi="宋体" w:eastAsia="宋体"/>
          <w:sz w:val="21"/>
        </w:rPr>
        <w:t xml:space="preserve">图中上面板为交付期总费用、下面板为紧急购电量（图 14）。紧急购电量随 </w:t>
      </w:r>
      <m:oMath>
        <m:r>
          <m:t>m</m:t>
        </m:r>
      </m:oMath>
      <w:r>
        <w:rPr>
          <w:rFonts w:ascii="宋体" w:hAnsi="宋体" w:eastAsia="宋体"/>
          <w:sz w:val="21"/>
        </w:rPr>
        <w:t xml:space="preserve"> 从 472758.94 kWh 降至 774.63 kWh；费用由 </w:t>
      </w:r>
      <m:oMath>
        <m:r>
          <m:t>m=0</m:t>
        </m:r>
      </m:oMath>
      <w:r>
        <w:rPr>
          <w:rFonts w:ascii="宋体" w:hAnsi="宋体" w:eastAsia="宋体"/>
          <w:sz w:val="21"/>
        </w:rPr>
        <w:t xml:space="preserve"> 的 1524.90 万元先降至 </w:t>
      </w:r>
      <m:oMath>
        <m:r>
          <m:t>m=0.03</m:t>
        </m:r>
      </m:oMath>
      <w:r>
        <w:rPr>
          <w:rFonts w:ascii="宋体" w:hAnsi="宋体" w:eastAsia="宋体"/>
          <w:sz w:val="21"/>
        </w:rPr>
        <w:t xml:space="preserve"> 的 1415.89 万元，再升至 </w:t>
      </w:r>
      <m:oMath>
        <m:r>
          <m:t>m=0.20</m:t>
        </m:r>
      </m:oMath>
      <w:r>
        <w:rPr>
          <w:rFonts w:ascii="宋体" w:hAnsi="宋体" w:eastAsia="宋体"/>
          <w:sz w:val="21"/>
        </w:rPr>
        <w:t xml:space="preserve"> 的 1748.09 万元。在当前候选网格和求解精度下，</w:t>
      </w:r>
      <m:oMath>
        <m:r>
          <m:t>m=0.03</m:t>
        </m:r>
      </m:oMath>
      <w:r>
        <w:rPr>
          <w:rFonts w:ascii="宋体" w:hAnsi="宋体" w:eastAsia="宋体"/>
          <w:sz w:val="21"/>
        </w:rPr>
        <w:t xml:space="preserve"> 得到最低目标值，与较高计划分位的理论方向一致。</w:t>
      </w:r>
      <m:oMath>
        <m:r>
          <m:t>m</m:t>
        </m:r>
      </m:oMath>
      <w:r>
        <w:rPr>
          <w:rFonts w:ascii="宋体" w:hAnsi="宋体" w:eastAsia="宋体"/>
          <w:sz w:val="21"/>
        </w:rPr>
        <w:t xml:space="preserve"> 使用同一交付期选择和评价，不能视为独立样本外最优参数。</w:t>
      </w:r>
    </w:p>
    <w:p>
      <w:pPr/>
      <w:r>
        <w:rPr>
          <w:rFonts w:ascii="Times New Roman" w:eastAsia="宋体"/>
          <w:sz w:val="22"/>
        </w:rPr>
        <w:t>该点预测基线在裕度为 3% 时得到 14158935.77 元，与问题三内部 S0 一致；问题二场景近似主方案的费用为 14104438.86 元。图 14 的最低点不能替代问题二主方案费用。</w:t>
      </w:r>
    </w:p>
    <w:p>
      <w:pPr>
        <w:pStyle w:val="Heading2"/>
        <w:ind w:firstLine="0"/>
      </w:pPr>
      <w:r>
        <w:rPr>
          <w:rFonts w:ascii="黑体" w:hAnsi="黑体" w:eastAsia="黑体"/>
          <w:sz w:val="26"/>
        </w:rPr>
        <w:t>6.6 全年结果</w:t>
      </w:r>
    </w:p>
    <w:p>
      <w:pPr/>
      <w:r>
        <w:rPr>
          <w:rFonts w:ascii="宋体" w:hAnsi="宋体" w:eastAsia="宋体"/>
          <w:sz w:val="21"/>
        </w:rPr>
        <w:t xml:space="preserve">场景近似日前计划器在 334 天交付期的总费用为 14104438.86 元，其中计划购电费 13012636.55 元、紧急购电费 1091802.30 元，紧急购电量 187722.62 kWh，储能循环量 5090771.56 kWh，弃光量 2098266.25 kWh。初始 SOC 只在 2025 年 1 月 1 日设置，2 月 1 日状态为 1548.22 kWh，年末回到 6000 kWh。逐时段审计的平衡等式、SOC、功率换算与 </w:t>
      </w:r>
      <m:oMath>
        <m:sSub>
          <m:e>
            <m:r>
              <m:t>max</m:t>
            </m:r>
          </m:e>
          <m:sub>
            <m:r>
              <m:t>t</m:t>
            </m:r>
          </m:sub>
        </m:sSub>
        <m:r>
          <m:t>min(</m:t>
        </m:r>
        <m:sSub>
          <m:e>
            <m:r>
              <m:t>c</m:t>
            </m:r>
          </m:e>
          <m:sub>
            <m:r>
              <m:t>t</m:t>
            </m:r>
          </m:sub>
        </m:sSub>
        <m:r>
          <m:t>,</m:t>
        </m:r>
        <m:sSub>
          <m:e>
            <m:r>
              <m:t>s</m:t>
            </m:r>
          </m:e>
          <m:sub>
            <m:r>
              <m:t>t</m:t>
            </m:r>
          </m:sub>
        </m:sSub>
        <m:r>
          <m:t>)</m:t>
        </m:r>
      </m:oMath>
      <w:r>
        <w:rPr>
          <w:rFonts w:ascii="宋体" w:hAnsi="宋体" w:eastAsia="宋体"/>
          <w:sz w:val="21"/>
        </w:rPr>
        <w:t xml:space="preserve"> 均通过；历史索引轨迹满足 </w:t>
      </w:r>
      <m:oMath>
        <m:r>
          <m:t>j&lt;d</m:t>
        </m:r>
      </m:oMath>
      <w:r>
        <w:rPr>
          <w:rFonts w:ascii="宋体" w:hAnsi="宋体" w:eastAsia="宋体"/>
          <w:sz w:val="21"/>
        </w:rPr>
        <w:t>，在所设边界和审计项目下未发现明显泄漏。</w:t>
      </w:r>
    </w:p>
    <w:p>
      <w:pPr>
        <w:pStyle w:val="Heading1"/>
        <w:ind w:firstLine="0"/>
      </w:pPr>
      <w:r>
        <w:rPr>
          <w:rFonts w:ascii="黑体" w:hAnsi="黑体" w:eastAsia="黑体"/>
          <w:sz w:val="30"/>
        </w:rPr>
        <w:t>七、问题三：多时刻滚动调整与三段式费用</w:t>
      </w:r>
    </w:p>
    <w:p>
      <w:pPr>
        <w:pStyle w:val="Heading2"/>
        <w:ind w:firstLine="0"/>
      </w:pPr>
      <w:r>
        <w:rPr>
          <w:rFonts w:ascii="黑体" w:hAnsi="黑体" w:eastAsia="黑体"/>
          <w:sz w:val="26"/>
        </w:rPr>
        <w:t>7.1 新增的决策自由与费用规则</w:t>
      </w:r>
    </w:p>
    <w:p>
      <w:pPr/>
      <w:r>
        <w:rPr>
          <w:rFonts w:ascii="宋体" w:hAnsi="宋体" w:eastAsia="宋体"/>
          <w:sz w:val="21"/>
        </w:rPr>
        <w:t>问题三在问题二的基础上放开一个自由度：除 0:00 外，还可在 6:00、12:00、18:00 三个时刻根据滚动更新的预报，调整尚未发生时段的购电量。这种“随信息更新反复重解、只执行当前时段”的机制采用滚动时域优化思想</w:t>
      </w:r>
      <w:r>
        <w:rPr>
          <w:rFonts w:ascii="宋体" w:hAnsi="宋体" w:eastAsia="宋体"/>
          <w:sz w:val="21"/>
          <w:vertAlign w:val="superscript"/>
        </w:rPr>
        <w:t>[10]</w:t>
      </w:r>
      <w:r>
        <w:rPr>
          <w:rFonts w:ascii="宋体" w:hAnsi="宋体" w:eastAsia="宋体"/>
          <w:sz w:val="21"/>
        </w:rPr>
        <w:t>，已被广泛用于微网实时经济调度</w:t>
      </w:r>
      <w:r>
        <w:rPr>
          <w:rFonts w:ascii="宋体" w:hAnsi="宋体" w:eastAsia="宋体"/>
          <w:sz w:val="21"/>
          <w:vertAlign w:val="superscript"/>
        </w:rPr>
        <w:t>[8]</w:t>
      </w:r>
      <w:r>
        <w:rPr>
          <w:rFonts w:ascii="宋体" w:hAnsi="宋体" w:eastAsia="宋体"/>
          <w:sz w:val="21"/>
        </w:rPr>
        <w:t xml:space="preserve">。本文各次重解使用单条点预测轨迹，故其本质是点预测滚动优化，而不是随机 MPC。相对 0:00 原始计划 </w:t>
      </w:r>
      <m:oMath>
        <m:sSub>
          <m:e>
            <m:r>
              <m:t>b</m:t>
            </m:r>
          </m:e>
          <m:sub>
            <m:r>
              <m:t>t</m:t>
            </m:r>
          </m:sub>
        </m:sSub>
      </m:oMath>
      <w:r>
        <w:rPr>
          <w:rFonts w:ascii="宋体" w:hAnsi="宋体" w:eastAsia="宋体"/>
          <w:sz w:val="21"/>
        </w:rPr>
        <w:t xml:space="preserve">，最终购电量 </w:t>
      </w:r>
      <m:oMath>
        <m:sSub>
          <m:e>
            <m:r>
              <m:t>a</m:t>
            </m:r>
          </m:e>
          <m:sub>
            <m:r>
              <m:t>t</m:t>
            </m:r>
          </m:sub>
        </m:sSub>
      </m:oMath>
      <w:r>
        <w:rPr>
          <w:rFonts w:ascii="宋体" w:hAnsi="宋体" w:eastAsia="宋体"/>
          <w:sz w:val="21"/>
        </w:rPr>
        <w:t xml:space="preserve"> 若上调（</w:t>
      </w:r>
      <m:oMath>
        <m:sSub>
          <m:e>
            <m:r>
              <m:t>a</m:t>
            </m:r>
          </m:e>
          <m:sub>
            <m:r>
              <m:t>t</m:t>
            </m:r>
          </m:sub>
        </m:sSub>
        <m:r>
          <m:t>&gt;</m:t>
        </m:r>
        <m:sSub>
          <m:e>
            <m:r>
              <m:t>b</m:t>
            </m:r>
          </m:e>
          <m:sub>
            <m:r>
              <m:t>t</m:t>
            </m:r>
          </m:sub>
        </m:sSub>
      </m:oMath>
      <w:r>
        <w:rPr>
          <w:rFonts w:ascii="宋体" w:hAnsi="宋体" w:eastAsia="宋体"/>
          <w:sz w:val="21"/>
        </w:rPr>
        <w:t xml:space="preserve">），超出部分按 </w:t>
      </w:r>
      <m:oMath>
        <m:r>
          <m:t>1.5</m:t>
        </m:r>
      </m:oMath>
      <w:r>
        <w:rPr>
          <w:rFonts w:ascii="宋体" w:hAnsi="宋体" w:eastAsia="宋体"/>
          <w:sz w:val="21"/>
        </w:rPr>
        <w:t xml:space="preserve"> 倍电价付费；若下调（</w:t>
      </w:r>
      <m:oMath>
        <m:sSub>
          <m:e>
            <m:r>
              <m:t>a</m:t>
            </m:r>
          </m:e>
          <m:sub>
            <m:r>
              <m:t>t</m:t>
            </m:r>
          </m:sub>
        </m:sSub>
        <m:r>
          <m:t>&lt;</m:t>
        </m:r>
        <m:sSub>
          <m:e>
            <m:r>
              <m:t>b</m:t>
            </m:r>
          </m:e>
          <m:sub>
            <m:r>
              <m:t>t</m:t>
            </m:r>
          </m:sub>
        </m:sSub>
      </m:oMath>
      <w:r>
        <w:rPr>
          <w:rFonts w:ascii="宋体" w:hAnsi="宋体" w:eastAsia="宋体"/>
          <w:sz w:val="21"/>
        </w:rPr>
        <w:t xml:space="preserve">），违约部分按 </w:t>
      </w:r>
      <m:oMath>
        <m:r>
          <m:t>0.5</m:t>
        </m:r>
      </m:oMath>
      <w:r>
        <w:rPr>
          <w:rFonts w:ascii="宋体" w:hAnsi="宋体" w:eastAsia="宋体"/>
          <w:sz w:val="21"/>
        </w:rPr>
        <w:t xml:space="preserve"> 倍电价计违约金。</w:t>
      </w:r>
    </w:p>
    <w:p>
      <w:pPr>
        <w:pStyle w:val="Heading2"/>
        <w:ind w:firstLine="0"/>
      </w:pPr>
      <w:r>
        <w:rPr>
          <w:rFonts w:ascii="黑体" w:hAnsi="黑体" w:eastAsia="黑体"/>
          <w:sz w:val="26"/>
        </w:rPr>
        <w:t>7.2 滚动时域决策框架</w:t>
      </w:r>
    </w:p>
    <w:p>
      <w:pPr/>
      <w:r>
        <w:rPr>
          <w:rFonts w:ascii="宋体" w:hAnsi="宋体" w:eastAsia="宋体"/>
          <w:sz w:val="21"/>
        </w:rPr>
        <w:t xml:space="preserve">决策时刻集合 </w:t>
      </w:r>
      <m:oMath>
        <m:r>
          <m:t>ℋ={0,6,12,18}</m:t>
        </m:r>
      </m:oMath>
      <w:r>
        <w:rPr>
          <w:rFonts w:ascii="宋体" w:hAnsi="宋体" w:eastAsia="宋体"/>
          <w:sz w:val="21"/>
        </w:rPr>
        <w:t xml:space="preserve"> h，时刻 </w:t>
      </w:r>
      <m:oMath>
        <m:r>
          <m:t>h</m:t>
        </m:r>
      </m:oMath>
      <w:r>
        <w:rPr>
          <w:rFonts w:ascii="宋体" w:hAnsi="宋体" w:eastAsia="宋体"/>
          <w:sz w:val="21"/>
        </w:rPr>
        <w:t xml:space="preserve"> 已过去 </w:t>
      </w:r>
      <m:oMath>
        <m:r>
          <m:t>τ(h)=6h</m:t>
        </m:r>
      </m:oMath>
      <w:r>
        <w:rPr>
          <w:rFonts w:ascii="宋体" w:hAnsi="宋体" w:eastAsia="宋体"/>
          <w:sz w:val="21"/>
        </w:rPr>
        <w:t xml:space="preserve"> 个时段。在每个 </w:t>
      </w:r>
      <m:oMath>
        <m:r>
          <m:t>h</m:t>
        </m:r>
      </m:oMath>
      <w:r>
        <w:rPr>
          <w:rFonts w:ascii="宋体" w:hAnsi="宋体" w:eastAsia="宋体"/>
          <w:sz w:val="21"/>
        </w:rPr>
        <w:t xml:space="preserve">，只对未发生时段 </w:t>
      </w:r>
      <m:oMath>
        <m:r>
          <m:t>t&gt;τ(h)</m:t>
        </m:r>
      </m:oMath>
      <w:r>
        <w:rPr>
          <w:rFonts w:ascii="宋体" w:hAnsi="宋体" w:eastAsia="宋体"/>
          <w:sz w:val="21"/>
        </w:rPr>
        <w:t xml:space="preserve"> 重新优化购电量，已发生时段的量已成事实、不可回改。各时点可用信息统一如下；所有“实际量”均只截至边界时刻，边界后的量以预测量表示。</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shd w:fill="D9EAF7"/>
          </w:tcPr>
          <w:p>
            <w:pPr>
              <w:spacing w:line="240" w:lineRule="auto"/>
              <w:ind w:firstLine="0"/>
              <w:jc w:val="center"/>
            </w:pPr>
            <w:r>
              <w:rPr>
                <w:rFonts w:ascii="黑体" w:hAnsi="黑体" w:eastAsia="黑体"/>
                <w:b/>
                <w:sz w:val="17"/>
              </w:rPr>
              <w:t>决策时刻</w:t>
            </w:r>
          </w:p>
        </w:tc>
        <w:tc>
          <w:tcPr>
            <w:tcW w:type="dxa" w:w="2353"/>
            <w:vAlign w:val="center"/>
            <w:shd w:fill="D9EAF7"/>
          </w:tcPr>
          <w:p>
            <w:pPr>
              <w:spacing w:line="240" w:lineRule="auto"/>
              <w:ind w:firstLine="0"/>
              <w:jc w:val="center"/>
            </w:pPr>
            <w:r>
              <w:rPr>
                <w:rFonts w:ascii="黑体" w:hAnsi="黑体" w:eastAsia="黑体"/>
                <w:b/>
                <w:sz w:val="17"/>
              </w:rPr>
              <w:t>可使用的实际信息</w:t>
            </w:r>
          </w:p>
        </w:tc>
        <w:tc>
          <w:tcPr>
            <w:tcW w:type="dxa" w:w="2353"/>
            <w:vAlign w:val="center"/>
            <w:shd w:fill="D9EAF7"/>
          </w:tcPr>
          <w:p>
            <w:pPr>
              <w:spacing w:line="240" w:lineRule="auto"/>
              <w:ind w:firstLine="0"/>
              <w:jc w:val="center"/>
            </w:pPr>
            <w:r>
              <w:rPr>
                <w:rFonts w:ascii="黑体" w:hAnsi="黑体" w:eastAsia="黑体"/>
                <w:b/>
                <w:sz w:val="17"/>
              </w:rPr>
              <w:t>可使用的未来信息</w:t>
            </w:r>
          </w:p>
        </w:tc>
        <w:tc>
          <w:tcPr>
            <w:tcW w:type="dxa" w:w="2353"/>
            <w:vAlign w:val="center"/>
            <w:shd w:fill="D9EAF7"/>
          </w:tcPr>
          <w:p>
            <w:pPr>
              <w:spacing w:line="240" w:lineRule="auto"/>
              <w:ind w:firstLine="0"/>
              <w:jc w:val="center"/>
            </w:pPr>
            <w:r>
              <w:rPr>
                <w:rFonts w:ascii="黑体" w:hAnsi="黑体" w:eastAsia="黑体"/>
                <w:b/>
                <w:sz w:val="17"/>
              </w:rPr>
              <w:t>决策范围</w:t>
            </w:r>
          </w:p>
        </w:tc>
      </w:tr>
      <w:tr>
        <w:tc>
          <w:tcPr>
            <w:tcW w:type="dxa" w:w="2353"/>
            <w:vAlign w:val="center"/>
          </w:tcPr>
          <w:p>
            <w:pPr>
              <w:spacing w:line="240" w:lineRule="auto"/>
              <w:ind w:firstLine="0"/>
              <w:jc w:val="left"/>
            </w:pPr>
            <w:r>
              <w:rPr>
                <w:rFonts w:ascii="宋体" w:hAnsi="宋体" w:eastAsia="宋体"/>
                <w:sz w:val="17"/>
              </w:rPr>
              <w:t>0:00</w:t>
            </w:r>
          </w:p>
        </w:tc>
        <w:tc>
          <w:tcPr>
            <w:tcW w:type="dxa" w:w="2353"/>
            <w:vAlign w:val="center"/>
          </w:tcPr>
          <w:p>
            <w:pPr>
              <w:spacing w:line="240" w:lineRule="auto"/>
              <w:ind w:firstLine="0"/>
              <w:jc w:val="left"/>
            </w:pPr>
            <w:r>
              <w:rPr>
                <w:rFonts w:ascii="宋体" w:hAnsi="宋体" w:eastAsia="宋体"/>
                <w:sz w:val="17"/>
              </w:rPr>
              <w:t xml:space="preserve">上一日末 SOC 与严格早于当日的历史 </w:t>
            </w:r>
            <m:oMath>
              <m:r>
                <m:t>L,G,p</m:t>
              </m:r>
            </m:oMath>
          </w:p>
        </w:tc>
        <w:tc>
          <w:tcPr>
            <w:tcW w:type="dxa" w:w="2353"/>
            <w:vAlign w:val="center"/>
          </w:tcPr>
          <w:p>
            <w:pPr>
              <w:spacing w:line="240" w:lineRule="auto"/>
              <w:ind w:firstLine="0"/>
              <w:jc w:val="left"/>
            </w:pPr>
            <w:r>
              <w:rPr>
                <w:rFonts w:ascii="宋体" w:hAnsi="宋体" w:eastAsia="宋体"/>
                <w:sz w:val="17"/>
              </w:rPr>
              <w:t xml:space="preserve">当日 </w:t>
            </w:r>
            <m:oMath>
              <m:acc>
                <m:accPr>
                  <m:chr m:val="̂"/>
                </m:accPr>
                <m:e>
                  <m:r>
                    <m:t>L</m:t>
                  </m:r>
                </m:e>
              </m:acc>
              <m:r>
                <m:t>,</m:t>
              </m:r>
              <m:acc>
                <m:accPr>
                  <m:chr m:val="̂"/>
                </m:accPr>
                <m:e>
                  <m:r>
                    <m:t>G</m:t>
                  </m:r>
                </m:e>
              </m:acc>
              <m:r>
                <m:t>,</m:t>
              </m:r>
              <m:acc>
                <m:accPr>
                  <m:chr m:val="̂"/>
                </m:accPr>
                <m:e>
                  <m:r>
                    <m:t>p</m:t>
                  </m:r>
                </m:e>
              </m:acc>
            </m:oMath>
            <w:r>
              <w:rPr>
                <w:rFonts w:ascii="宋体" w:hAnsi="宋体" w:eastAsia="宋体"/>
                <w:sz w:val="17"/>
              </w:rPr>
              <w:t xml:space="preserve">；问题二另由历史残差生成 </w:t>
            </w:r>
            <m:oMath>
              <m:sSup>
                <m:e>
                  <m:r>
                    <m:t>L</m:t>
                  </m:r>
                </m:e>
                <m:sup>
                  <m:r>
                    <m:t>ω</m:t>
                  </m:r>
                </m:sup>
              </m:sSup>
              <m:r>
                <m:t>,</m:t>
              </m:r>
              <m:sSup>
                <m:e>
                  <m:r>
                    <m:t>G</m:t>
                  </m:r>
                </m:e>
                <m:sup>
                  <m:r>
                    <m:t>ω</m:t>
                  </m:r>
                </m:sup>
              </m:sSup>
            </m:oMath>
          </w:p>
        </w:tc>
        <w:tc>
          <w:tcPr>
            <w:tcW w:type="dxa" w:w="2353"/>
            <w:vAlign w:val="center"/>
          </w:tcPr>
          <w:p>
            <w:pPr>
              <w:spacing w:line="240" w:lineRule="auto"/>
              <w:ind w:firstLine="0"/>
              <w:jc w:val="left"/>
            </w:pPr>
            <w:r>
              <w:rPr>
                <w:rFonts w:ascii="宋体" w:hAnsi="宋体" w:eastAsia="宋体"/>
                <w:sz w:val="17"/>
              </w:rPr>
              <w:t>当日全部 144 段</w:t>
            </w:r>
          </w:p>
        </w:tc>
      </w:tr>
      <w:tr>
        <w:tc>
          <w:tcPr>
            <w:tcW w:type="dxa" w:w="2353"/>
            <w:vAlign w:val="center"/>
          </w:tcPr>
          <w:p>
            <w:pPr>
              <w:spacing w:line="240" w:lineRule="auto"/>
              <w:ind w:firstLine="0"/>
              <w:jc w:val="left"/>
            </w:pPr>
            <w:r>
              <w:rPr>
                <w:rFonts w:ascii="宋体" w:hAnsi="宋体" w:eastAsia="宋体"/>
                <w:sz w:val="17"/>
              </w:rPr>
              <w:t>6:00</w:t>
            </w:r>
          </w:p>
        </w:tc>
        <w:tc>
          <w:tcPr>
            <w:tcW w:type="dxa" w:w="2353"/>
            <w:vAlign w:val="center"/>
          </w:tcPr>
          <w:p>
            <w:pPr>
              <w:spacing w:line="240" w:lineRule="auto"/>
              <w:ind w:firstLine="0"/>
              <w:jc w:val="left"/>
            </w:pPr>
            <w:r>
              <w:rPr>
                <w:rFonts w:ascii="宋体" w:hAnsi="宋体" w:eastAsia="宋体"/>
                <w:sz w:val="17"/>
              </w:rPr>
              <w:t xml:space="preserve">0:00—6:00 已实现的 </w:t>
            </w:r>
            <m:oMath>
              <m:r>
                <m:t>L,G,p</m:t>
              </m:r>
            </m:oMath>
            <w:r>
              <w:rPr>
                <w:rFonts w:ascii="宋体" w:hAnsi="宋体" w:eastAsia="宋体"/>
                <w:sz w:val="17"/>
              </w:rPr>
              <w:t xml:space="preserve"> 与当前 SOC</w:t>
            </w:r>
          </w:p>
        </w:tc>
        <w:tc>
          <w:tcPr>
            <w:tcW w:type="dxa" w:w="2353"/>
            <w:vAlign w:val="center"/>
          </w:tcPr>
          <w:p>
            <w:pPr>
              <w:spacing w:line="240" w:lineRule="auto"/>
              <w:ind w:firstLine="0"/>
              <w:jc w:val="left"/>
            </w:pPr>
            <w:r>
              <w:rPr>
                <w:rFonts w:ascii="宋体" w:hAnsi="宋体" w:eastAsia="宋体"/>
                <w:sz w:val="17"/>
              </w:rPr>
              <w:t xml:space="preserve">6:00 后更新的 </w:t>
            </w:r>
            <m:oMath>
              <m:acc>
                <m:accPr>
                  <m:chr m:val="̂"/>
                </m:accPr>
                <m:e>
                  <m:r>
                    <m:t>L</m:t>
                  </m:r>
                </m:e>
              </m:acc>
              <m:r>
                <m:t>,</m:t>
              </m:r>
              <m:acc>
                <m:accPr>
                  <m:chr m:val="̂"/>
                </m:accPr>
                <m:e>
                  <m:r>
                    <m:t>G</m:t>
                  </m:r>
                </m:e>
              </m:acc>
              <m:r>
                <m:t>,</m:t>
              </m:r>
              <m:acc>
                <m:accPr>
                  <m:chr m:val="̂"/>
                </m:accPr>
                <m:e>
                  <m:r>
                    <m:t>p</m:t>
                  </m:r>
                </m:e>
              </m:acc>
            </m:oMath>
          </w:p>
        </w:tc>
        <w:tc>
          <w:tcPr>
            <w:tcW w:type="dxa" w:w="2353"/>
            <w:vAlign w:val="center"/>
          </w:tcPr>
          <w:p>
            <w:pPr>
              <w:spacing w:line="240" w:lineRule="auto"/>
              <w:ind w:firstLine="0"/>
              <w:jc w:val="left"/>
            </w:pPr>
            <w:r>
              <w:rPr>
                <w:rFonts w:ascii="宋体" w:hAnsi="宋体" w:eastAsia="宋体"/>
                <w:sz w:val="17"/>
              </w:rPr>
              <w:t>6:00 后未发生时段</w:t>
            </w:r>
          </w:p>
        </w:tc>
      </w:tr>
      <w:tr>
        <w:tc>
          <w:tcPr>
            <w:tcW w:type="dxa" w:w="2353"/>
            <w:vAlign w:val="center"/>
          </w:tcPr>
          <w:p>
            <w:pPr>
              <w:spacing w:line="240" w:lineRule="auto"/>
              <w:ind w:firstLine="0"/>
              <w:jc w:val="left"/>
            </w:pPr>
            <w:r>
              <w:rPr>
                <w:rFonts w:ascii="宋体" w:hAnsi="宋体" w:eastAsia="宋体"/>
                <w:sz w:val="17"/>
              </w:rPr>
              <w:t>12:00</w:t>
            </w:r>
          </w:p>
        </w:tc>
        <w:tc>
          <w:tcPr>
            <w:tcW w:type="dxa" w:w="2353"/>
            <w:vAlign w:val="center"/>
          </w:tcPr>
          <w:p>
            <w:pPr>
              <w:spacing w:line="240" w:lineRule="auto"/>
              <w:ind w:firstLine="0"/>
              <w:jc w:val="left"/>
            </w:pPr>
            <w:r>
              <w:rPr>
                <w:rFonts w:ascii="宋体" w:hAnsi="宋体" w:eastAsia="宋体"/>
                <w:sz w:val="17"/>
              </w:rPr>
              <w:t xml:space="preserve">0:00—12:00 已实现的 </w:t>
            </w:r>
            <m:oMath>
              <m:r>
                <m:t>L,G,p</m:t>
              </m:r>
            </m:oMath>
            <w:r>
              <w:rPr>
                <w:rFonts w:ascii="宋体" w:hAnsi="宋体" w:eastAsia="宋体"/>
                <w:sz w:val="17"/>
              </w:rPr>
              <w:t xml:space="preserve"> 与当前 SOC</w:t>
            </w:r>
          </w:p>
        </w:tc>
        <w:tc>
          <w:tcPr>
            <w:tcW w:type="dxa" w:w="2353"/>
            <w:vAlign w:val="center"/>
          </w:tcPr>
          <w:p>
            <w:pPr>
              <w:spacing w:line="240" w:lineRule="auto"/>
              <w:ind w:firstLine="0"/>
              <w:jc w:val="left"/>
            </w:pPr>
            <w:r>
              <w:rPr>
                <w:rFonts w:ascii="宋体" w:hAnsi="宋体" w:eastAsia="宋体"/>
                <w:sz w:val="17"/>
              </w:rPr>
              <w:t xml:space="preserve">12:00 后更新的 </w:t>
            </w:r>
            <m:oMath>
              <m:acc>
                <m:accPr>
                  <m:chr m:val="̂"/>
                </m:accPr>
                <m:e>
                  <m:r>
                    <m:t>L</m:t>
                  </m:r>
                </m:e>
              </m:acc>
              <m:r>
                <m:t>,</m:t>
              </m:r>
              <m:acc>
                <m:accPr>
                  <m:chr m:val="̂"/>
                </m:accPr>
                <m:e>
                  <m:r>
                    <m:t>G</m:t>
                  </m:r>
                </m:e>
              </m:acc>
              <m:r>
                <m:t>,</m:t>
              </m:r>
              <m:acc>
                <m:accPr>
                  <m:chr m:val="̂"/>
                </m:accPr>
                <m:e>
                  <m:r>
                    <m:t>p</m:t>
                  </m:r>
                </m:e>
              </m:acc>
            </m:oMath>
          </w:p>
        </w:tc>
        <w:tc>
          <w:tcPr>
            <w:tcW w:type="dxa" w:w="2353"/>
            <w:vAlign w:val="center"/>
          </w:tcPr>
          <w:p>
            <w:pPr>
              <w:spacing w:line="240" w:lineRule="auto"/>
              <w:ind w:firstLine="0"/>
              <w:jc w:val="left"/>
            </w:pPr>
            <w:r>
              <w:rPr>
                <w:rFonts w:ascii="宋体" w:hAnsi="宋体" w:eastAsia="宋体"/>
                <w:sz w:val="17"/>
              </w:rPr>
              <w:t>12:00 后未发生时段</w:t>
            </w:r>
          </w:p>
        </w:tc>
      </w:tr>
      <w:tr>
        <w:tc>
          <w:tcPr>
            <w:tcW w:type="dxa" w:w="2353"/>
            <w:vAlign w:val="center"/>
          </w:tcPr>
          <w:p>
            <w:pPr>
              <w:spacing w:line="240" w:lineRule="auto"/>
              <w:ind w:firstLine="0"/>
              <w:jc w:val="left"/>
            </w:pPr>
            <w:r>
              <w:rPr>
                <w:rFonts w:ascii="宋体" w:hAnsi="宋体" w:eastAsia="宋体"/>
                <w:sz w:val="17"/>
              </w:rPr>
              <w:t>18:00</w:t>
            </w:r>
          </w:p>
        </w:tc>
        <w:tc>
          <w:tcPr>
            <w:tcW w:type="dxa" w:w="2353"/>
            <w:vAlign w:val="center"/>
          </w:tcPr>
          <w:p>
            <w:pPr>
              <w:spacing w:line="240" w:lineRule="auto"/>
              <w:ind w:firstLine="0"/>
              <w:jc w:val="left"/>
            </w:pPr>
            <w:r>
              <w:rPr>
                <w:rFonts w:ascii="宋体" w:hAnsi="宋体" w:eastAsia="宋体"/>
                <w:sz w:val="17"/>
              </w:rPr>
              <w:t xml:space="preserve">0:00—18:00 已实现的 </w:t>
            </w:r>
            <m:oMath>
              <m:r>
                <m:t>L,G,p</m:t>
              </m:r>
            </m:oMath>
            <w:r>
              <w:rPr>
                <w:rFonts w:ascii="宋体" w:hAnsi="宋体" w:eastAsia="宋体"/>
                <w:sz w:val="17"/>
              </w:rPr>
              <w:t xml:space="preserve"> 与当前 SOC</w:t>
            </w:r>
          </w:p>
        </w:tc>
        <w:tc>
          <w:tcPr>
            <w:tcW w:type="dxa" w:w="2353"/>
            <w:vAlign w:val="center"/>
          </w:tcPr>
          <w:p>
            <w:pPr>
              <w:spacing w:line="240" w:lineRule="auto"/>
              <w:ind w:firstLine="0"/>
              <w:jc w:val="left"/>
            </w:pPr>
            <w:r>
              <w:rPr>
                <w:rFonts w:ascii="宋体" w:hAnsi="宋体" w:eastAsia="宋体"/>
                <w:sz w:val="17"/>
              </w:rPr>
              <w:t xml:space="preserve">18:00 后更新的 </w:t>
            </w:r>
            <m:oMath>
              <m:acc>
                <m:accPr>
                  <m:chr m:val="̂"/>
                </m:accPr>
                <m:e>
                  <m:r>
                    <m:t>L</m:t>
                  </m:r>
                </m:e>
              </m:acc>
              <m:r>
                <m:t>,</m:t>
              </m:r>
              <m:acc>
                <m:accPr>
                  <m:chr m:val="̂"/>
                </m:accPr>
                <m:e>
                  <m:r>
                    <m:t>G</m:t>
                  </m:r>
                </m:e>
              </m:acc>
              <m:r>
                <m:t>,</m:t>
              </m:r>
              <m:acc>
                <m:accPr>
                  <m:chr m:val="̂"/>
                </m:accPr>
                <m:e>
                  <m:r>
                    <m:t>p</m:t>
                  </m:r>
                </m:e>
              </m:acc>
            </m:oMath>
          </w:p>
        </w:tc>
        <w:tc>
          <w:tcPr>
            <w:tcW w:type="dxa" w:w="2353"/>
            <w:vAlign w:val="center"/>
          </w:tcPr>
          <w:p>
            <w:pPr>
              <w:spacing w:line="240" w:lineRule="auto"/>
              <w:ind w:firstLine="0"/>
              <w:jc w:val="left"/>
            </w:pPr>
            <w:r>
              <w:rPr>
                <w:rFonts w:ascii="宋体" w:hAnsi="宋体" w:eastAsia="宋体"/>
                <w:sz w:val="17"/>
              </w:rPr>
              <w:t>18:00 后未发生时段</w:t>
            </w:r>
          </w:p>
        </w:tc>
      </w:tr>
    </w:tbl>
    <w:p>
      <w:pPr>
        <w:spacing w:after="0"/>
      </w:pPr>
    </w:p>
    <w:p>
      <w:pPr/>
      <w:r>
        <w:rPr>
          <w:rFonts w:ascii="宋体" w:hAnsi="宋体" w:eastAsia="宋体"/>
          <w:sz w:val="21"/>
        </w:rPr>
        <w:t>关键的因果边界如图 15 所示。</w:t>
      </w:r>
    </w:p>
    <w:p>
      <w:pPr>
        <w:keepNext w:val="1"/>
        <w:ind w:firstLine="0"/>
        <w:jc w:val="center"/>
      </w:pPr>
      <w:r>
        <w:drawing>
          <wp:inline xmlns:a="http://schemas.openxmlformats.org/drawingml/2006/main" xmlns:pic="http://schemas.openxmlformats.org/drawingml/2006/picture">
            <wp:extent cx="5040000" cy="2465085"/>
            <wp:docPr id="14" name="Picture 14" descr="滚动决策严格服从随时间推进的因果信息边界"/>
            <wp:cNvGraphicFramePr>
              <a:graphicFrameLocks noChangeAspect="1"/>
            </wp:cNvGraphicFramePr>
            <a:graphic>
              <a:graphicData uri="http://schemas.openxmlformats.org/drawingml/2006/picture">
                <pic:pic>
                  <pic:nvPicPr>
                    <pic:cNvPr id="0" name="tikz_info_set.png"/>
                    <pic:cNvPicPr/>
                  </pic:nvPicPr>
                  <pic:blipFill>
                    <a:blip r:embed="rId24"/>
                    <a:stretch>
                      <a:fillRect/>
                    </a:stretch>
                  </pic:blipFill>
                  <pic:spPr>
                    <a:xfrm>
                      <a:off x="0" y="0"/>
                      <a:ext cx="5040000" cy="2465085"/>
                    </a:xfrm>
                    <a:prstGeom prst="rect"/>
                  </pic:spPr>
                </pic:pic>
              </a:graphicData>
            </a:graphic>
          </wp:inline>
        </w:drawing>
      </w:r>
    </w:p>
    <w:p>
      <w:pPr>
        <w:pStyle w:val="Caption"/>
        <w:spacing w:after="100"/>
        <w:ind w:firstLine="0"/>
        <w:jc w:val="center"/>
      </w:pPr>
      <w:r>
        <w:rPr>
          <w:rFonts w:ascii="宋体" w:hAnsi="宋体" w:eastAsia="宋体"/>
          <w:sz w:val="18"/>
        </w:rPr>
        <w:t>图 15 滚动决策信息集示意</w:t>
      </w:r>
    </w:p>
    <w:p>
      <w:pPr/>
      <w:r>
        <w:rPr>
          <w:rFonts w:ascii="宋体" w:hAnsi="宋体" w:eastAsia="宋体"/>
          <w:sz w:val="21"/>
        </w:rPr>
        <w:t>如图 15，每一行对应一个决策时刻：实线段是该时刻已获得的实测区间，虚线段是仍可调整的未来时段，二者被因果边界隔开。边界随决策时刻逐行右移，说明越晚的一次重解掌握的实测越多、但可调整的余量越少。这一结构决定了滚动调整只能修正边界之后的时段、不能回改已发生的偏差，也决定了后续预报的价值必须足够大才能抵消调整费用。而后续预报确实更准：图 16 展示同一目标小时下不同发布时刻的预报精度。</w:t>
      </w:r>
    </w:p>
    <w:p>
      <w:pPr>
        <w:keepNext w:val="1"/>
        <w:ind w:firstLine="0"/>
        <w:jc w:val="center"/>
      </w:pPr>
      <w:r>
        <w:drawing>
          <wp:inline xmlns:a="http://schemas.openxmlformats.org/drawingml/2006/main" xmlns:pic="http://schemas.openxmlformats.org/drawingml/2006/picture">
            <wp:extent cx="5265000" cy="2720250"/>
            <wp:docPr id="15" name="Picture 15" descr="较晚发布的预报对同一目标小时更准确"/>
            <wp:cNvGraphicFramePr>
              <a:graphicFrameLocks noChangeAspect="1"/>
            </wp:cNvGraphicFramePr>
            <a:graphic>
              <a:graphicData uri="http://schemas.openxmlformats.org/drawingml/2006/picture">
                <pic:pic>
                  <pic:nvPicPr>
                    <pic:cNvPr id="0" name="fig_forecast_same_target.png"/>
                    <pic:cNvPicPr/>
                  </pic:nvPicPr>
                  <pic:blipFill>
                    <a:blip r:embed="rId25"/>
                    <a:stretch>
                      <a:fillRect/>
                    </a:stretch>
                  </pic:blipFill>
                  <pic:spPr>
                    <a:xfrm>
                      <a:off x="0" y="0"/>
                      <a:ext cx="5265000" cy="2720250"/>
                    </a:xfrm>
                    <a:prstGeom prst="rect"/>
                  </pic:spPr>
                </pic:pic>
              </a:graphicData>
            </a:graphic>
          </wp:inline>
        </w:drawing>
      </w:r>
    </w:p>
    <w:p>
      <w:pPr>
        <w:pStyle w:val="Caption"/>
        <w:spacing w:after="100"/>
        <w:ind w:firstLine="0"/>
        <w:jc w:val="center"/>
      </w:pPr>
      <w:r>
        <w:rPr>
          <w:rFonts w:ascii="宋体" w:hAnsi="宋体" w:eastAsia="宋体"/>
          <w:sz w:val="18"/>
        </w:rPr>
        <w:t>图 16 同目标不同发布时刻预报</w:t>
      </w:r>
    </w:p>
    <w:p>
      <w:pPr/>
      <w:r>
        <w:rPr>
          <w:rFonts w:ascii="宋体" w:hAnsi="宋体" w:eastAsia="宋体"/>
          <w:sz w:val="21"/>
        </w:rPr>
        <w:t>用哑铃图对午后 13:00–17:00 五个目标小时比较 0:00 发布与 12:00 发布的光伏预报 MAE（图 16），可见明显的精度跃升。以 13:00 为例，MAE 由 0:00 发布的 624.56 kW 降到 12:00 发布的 62.62 kW，降幅 90.0%；五个目标小时的降幅分别为 90.0%、84.4%、79.6%、73.3%、67.8%。同目标口径排除了"不同小时本身难度不同"的混淆，纯粹反映提前期缩短带来的精度提升。这正是引入 6:00/12:00/18:00 后续决策的客观依据——临近时段的预报显著变准，据此调整计划能有效压缩缺口。</w:t>
      </w:r>
    </w:p>
    <w:p>
      <w:pPr>
        <w:pStyle w:val="Heading2"/>
        <w:ind w:firstLine="0"/>
      </w:pPr>
      <w:r>
        <w:rPr>
          <w:rFonts w:ascii="黑体" w:hAnsi="黑体" w:eastAsia="黑体"/>
          <w:sz w:val="26"/>
        </w:rPr>
        <w:t>7.3 三段式费用的分段线性表达</w:t>
      </w:r>
    </w:p>
    <w:p>
      <w:pPr/>
      <w:r>
        <w:rPr>
          <w:rFonts w:ascii="宋体" w:hAnsi="宋体" w:eastAsia="宋体"/>
          <w:sz w:val="21"/>
        </w:rPr>
        <w:t>把最终购电量与原计划的偏差分解为上调、下调两个非负部分：</w:t>
      </w:r>
      <m:oMath>
        <m:sSub>
          <m:e>
            <m:r>
              <m:t>a</m:t>
            </m:r>
          </m:e>
          <m:sub>
            <m:r>
              <m:t>t</m:t>
            </m:r>
          </m:sub>
        </m:sSub>
        <m:r>
          <m:t>−</m:t>
        </m:r>
        <m:sSub>
          <m:e>
            <m:r>
              <m:t>b</m:t>
            </m:r>
          </m:e>
          <m:sub>
            <m:r>
              <m:t>t</m:t>
            </m:r>
          </m:sub>
        </m:sSub>
        <m:r>
          <m:t>=</m:t>
        </m:r>
        <m:sSubSup>
          <m:e>
            <m:r>
              <m:t>d</m:t>
            </m:r>
          </m:e>
          <m:sub>
            <m:r>
              <m:t>t</m:t>
            </m:r>
          </m:sub>
          <m:sup>
            <m:r>
              <m:t>+</m:t>
            </m:r>
          </m:sup>
        </m:sSubSup>
        <m:r>
          <m:t>−</m:t>
        </m:r>
        <m:sSubSup>
          <m:e>
            <m:r>
              <m:t>d</m:t>
            </m:r>
          </m:e>
          <m:sub>
            <m:r>
              <m:t>t</m:t>
            </m:r>
          </m:sub>
          <m:sup>
            <m:r>
              <m:t>−</m:t>
            </m:r>
          </m:sup>
        </m:sSubSup>
      </m:oMath>
      <w:r>
        <w:rPr>
          <w:rFonts w:ascii="宋体" w:hAnsi="宋体" w:eastAsia="宋体"/>
          <w:sz w:val="21"/>
        </w:rPr>
        <w:t>，</w:t>
      </w:r>
      <m:oMath>
        <m:sSubSup>
          <m:e>
            <m:r>
              <m:t>d</m:t>
            </m:r>
          </m:e>
          <m:sub>
            <m:r>
              <m:t>t</m:t>
            </m:r>
          </m:sub>
          <m:sup>
            <m:r>
              <m:t>+</m:t>
            </m:r>
          </m:sup>
        </m:sSubSup>
        <m:r>
          <m:t>,</m:t>
        </m:r>
        <m:sSubSup>
          <m:e>
            <m:r>
              <m:t>d</m:t>
            </m:r>
          </m:e>
          <m:sub>
            <m:r>
              <m:t>t</m:t>
            </m:r>
          </m:sub>
          <m:sup>
            <m:r>
              <m:t>−</m:t>
            </m:r>
          </m:sup>
        </m:sSubSup>
        <m:r>
          <m:t>≥0</m:t>
        </m:r>
      </m:oMath>
      <w:r>
        <w:rPr>
          <w:rFonts w:ascii="宋体" w:hAnsi="宋体" w:eastAsia="宋体"/>
          <w:sz w:val="21"/>
        </w:rPr>
        <w:t xml:space="preserve">。主计法 R-b 以 </w:t>
      </w:r>
      <m:oMath>
        <m:r>
          <m:t>min(</m:t>
        </m:r>
        <m:sSub>
          <m:e>
            <m:r>
              <m:t>a</m:t>
            </m:r>
          </m:e>
          <m:sub>
            <m:r>
              <m:t>t</m:t>
            </m:r>
          </m:sub>
        </m:sSub>
        <m:r>
          <m:t>,</m:t>
        </m:r>
        <m:sSub>
          <m:e>
            <m:r>
              <m:t>b</m:t>
            </m:r>
          </m:e>
          <m:sub>
            <m:r>
              <m:t>t</m:t>
            </m:r>
          </m:sub>
        </m:sSub>
        <m:r>
          <m:t>)</m:t>
        </m:r>
      </m:oMath>
      <w:r>
        <w:rPr>
          <w:rFonts w:ascii="宋体" w:hAnsi="宋体" w:eastAsia="宋体"/>
          <w:sz w:val="21"/>
        </w:rPr>
        <w:t xml:space="preserve"> 为基价、上调超出计 </w:t>
      </w:r>
      <m:oMath>
        <m:r>
          <m:t>1.5p</m:t>
        </m:r>
      </m:oMath>
      <w:r>
        <w:rPr>
          <w:rFonts w:ascii="宋体" w:hAnsi="宋体" w:eastAsia="宋体"/>
          <w:sz w:val="21"/>
        </w:rPr>
        <w:t xml:space="preserve">、下调违约计 </w:t>
      </w:r>
      <m:oMath>
        <m:r>
          <m:t>0.5p</m:t>
        </m:r>
      </m:oMath>
      <w:r>
        <w:rPr>
          <w:rFonts w:ascii="宋体" w:hAnsi="宋体" w:eastAsia="宋体"/>
          <w:sz w:val="21"/>
        </w:rPr>
        <w:t>，每段费用为</w:t>
      </w:r>
    </w:p>
    <w:p>
      <w:pPr>
        <w:keepLines/>
        <w:spacing w:before="80" w:after="80"/>
        <w:ind w:firstLine="0"/>
        <w:jc w:val="center"/>
      </w:pPr>
      <m:oMathPara>
        <m:oMath>
          <m:sSub>
            <m:e>
              <m:r>
                <m:t>ϕ</m:t>
              </m:r>
            </m:e>
            <m:sub>
              <m:r>
                <m:t>t</m:t>
              </m:r>
            </m:sub>
          </m:sSub>
          <m:r>
            <m:t>=</m:t>
          </m:r>
          <m:sSub>
            <m:e>
              <m:r>
                <m:t>p</m:t>
              </m:r>
            </m:e>
            <m:sub>
              <m:r>
                <m:t>t</m:t>
              </m:r>
            </m:sub>
          </m:sSub>
          <m:r>
            <m:t>min(</m:t>
          </m:r>
          <m:sSub>
            <m:e>
              <m:r>
                <m:t>a</m:t>
              </m:r>
            </m:e>
            <m:sub>
              <m:r>
                <m:t>t</m:t>
              </m:r>
            </m:sub>
          </m:sSub>
          <m:r>
            <m:t>,</m:t>
          </m:r>
          <m:sSub>
            <m:e>
              <m:r>
                <m:t>b</m:t>
              </m:r>
            </m:e>
            <m:sub>
              <m:r>
                <m:t>t</m:t>
              </m:r>
            </m:sub>
          </m:sSub>
          <m:r>
            <m:t>)+</m:t>
          </m:r>
          <m:sSup>
            <m:e>
              <m:r>
                <m:t>λ</m:t>
              </m:r>
            </m:e>
            <m:sup>
              <m:r>
                <m:t>+</m:t>
              </m:r>
            </m:sup>
          </m:sSup>
          <m:sSub>
            <m:e>
              <m:r>
                <m:t>p</m:t>
              </m:r>
            </m:e>
            <m:sub>
              <m:r>
                <m:t>t</m:t>
              </m:r>
            </m:sub>
          </m:sSub>
          <m:sSubSup>
            <m:e>
              <m:r>
                <m:t>d</m:t>
              </m:r>
            </m:e>
            <m:sub>
              <m:r>
                <m:t>t</m:t>
              </m:r>
            </m:sub>
            <m:sup>
              <m:r>
                <m:t>+</m:t>
              </m:r>
            </m:sup>
          </m:sSubSup>
          <m:r>
            <m:t>+</m:t>
          </m:r>
          <m:sSup>
            <m:e>
              <m:r>
                <m:t>λ</m:t>
              </m:r>
            </m:e>
            <m:sup>
              <m:r>
                <m:t>−</m:t>
              </m:r>
            </m:sup>
          </m:sSup>
          <m:sSub>
            <m:e>
              <m:r>
                <m:t>p</m:t>
              </m:r>
            </m:e>
            <m:sub>
              <m:r>
                <m:t>t</m:t>
              </m:r>
            </m:sub>
          </m:sSub>
          <m:sSubSup>
            <m:e>
              <m:r>
                <m:t>d</m:t>
              </m:r>
            </m:e>
            <m:sub>
              <m:r>
                <m:t>t</m:t>
              </m:r>
            </m:sub>
            <m:sup>
              <m:r>
                <m:t>−</m:t>
              </m:r>
            </m:sup>
          </m:sSubSup>
          <m:r>
            <m:t>,</m:t>
          </m:r>
          <m:sSup>
            <m:e>
              <m:r>
                <m:t>λ</m:t>
              </m:r>
            </m:e>
            <m:sup>
              <m:r>
                <m:t>+</m:t>
              </m:r>
            </m:sup>
          </m:sSup>
          <m:r>
            <m:t>=1.5,</m:t>
          </m:r>
          <m:r>
            <m:rPr>
              <m:sty m:val="p"/>
            </m:rPr>
            <m:t> </m:t>
          </m:r>
          <m:sSup>
            <m:e>
              <m:r>
                <m:t>λ</m:t>
              </m:r>
            </m:e>
            <m:sup>
              <m:r>
                <m:t>−</m:t>
              </m:r>
            </m:sup>
          </m:sSup>
          <m:r>
            <m:t>=0.5</m:t>
          </m:r>
        </m:oMath>
      </m:oMathPara>
      <w:r>
        <w:rPr>
          <w:rFonts w:ascii="Cambria Math" w:hAnsi="Cambria Math"/>
          <w:sz w:val="19"/>
        </w:rPr>
        <w:t xml:space="preserve">  (10)</w:t>
      </w:r>
    </w:p>
    <w:p>
      <w:pPr/>
      <w:r>
        <w:rPr>
          <w:rFonts w:ascii="宋体" w:hAnsi="宋体" w:eastAsia="宋体"/>
          <w:sz w:val="21"/>
        </w:rPr>
        <w:t xml:space="preserve">由于 </w:t>
      </w:r>
      <m:oMath>
        <m:sSubSup>
          <m:e>
            <m:r>
              <m:t>d</m:t>
            </m:r>
          </m:e>
          <m:sub>
            <m:r>
              <m:t>t</m:t>
            </m:r>
          </m:sub>
          <m:sup>
            <m:r>
              <m:t>+</m:t>
            </m:r>
          </m:sup>
        </m:sSubSup>
        <m:r>
          <m:t>,</m:t>
        </m:r>
        <m:sSubSup>
          <m:e>
            <m:r>
              <m:t>d</m:t>
            </m:r>
          </m:e>
          <m:sub>
            <m:r>
              <m:t>t</m:t>
            </m:r>
          </m:sub>
          <m:sup>
            <m:r>
              <m:t>−</m:t>
            </m:r>
          </m:sup>
        </m:sSubSup>
      </m:oMath>
      <w:r>
        <w:rPr>
          <w:rFonts w:ascii="宋体" w:hAnsi="宋体" w:eastAsia="宋体"/>
          <w:sz w:val="21"/>
        </w:rPr>
        <w:t xml:space="preserve"> 前的系数（</w:t>
      </w:r>
      <m:oMath>
        <m:r>
          <m:t>1.5p,0.5p</m:t>
        </m:r>
      </m:oMath>
      <w:r>
        <w:rPr>
          <w:rFonts w:ascii="宋体" w:hAnsi="宋体" w:eastAsia="宋体"/>
          <w:sz w:val="21"/>
        </w:rPr>
        <w:t xml:space="preserve">）在最小化目标下均为正，最优解自动满足 </w:t>
      </w:r>
      <m:oMath>
        <m:sSubSup>
          <m:e>
            <m:r>
              <m:t>d</m:t>
            </m:r>
          </m:e>
          <m:sub>
            <m:r>
              <m:t>t</m:t>
            </m:r>
          </m:sub>
          <m:sup>
            <m:r>
              <m:t>+</m:t>
            </m:r>
          </m:sup>
        </m:sSubSup>
        <m:sSubSup>
          <m:e>
            <m:r>
              <m:t>d</m:t>
            </m:r>
          </m:e>
          <m:sub>
            <m:r>
              <m:t>t</m:t>
            </m:r>
          </m:sub>
          <m:sup>
            <m:r>
              <m:t>−</m:t>
            </m:r>
          </m:sup>
        </m:sSubSup>
        <m:r>
          <m:t>=0</m:t>
        </m:r>
      </m:oMath>
      <w:r>
        <w:rPr>
          <w:rFonts w:ascii="宋体" w:hAnsi="宋体" w:eastAsia="宋体"/>
          <w:sz w:val="21"/>
        </w:rPr>
        <w:t xml:space="preserve">（不会同时上调下调），因此这一分解无需额外整数约束即保持线性。全天总费用为各段 </w:t>
      </w:r>
      <m:oMath>
        <m:sSub>
          <m:e>
            <m:r>
              <m:t>ϕ</m:t>
            </m:r>
          </m:e>
          <m:sub>
            <m:r>
              <m:t>t</m:t>
            </m:r>
          </m:sub>
        </m:sSub>
      </m:oMath>
      <w:r>
        <w:rPr>
          <w:rFonts w:ascii="宋体" w:hAnsi="宋体" w:eastAsia="宋体"/>
          <w:sz w:val="21"/>
        </w:rPr>
        <w:t xml:space="preserve"> 加紧急购电费之和。作为对照计法 R-a（以原计划 </w:t>
      </w:r>
      <m:oMath>
        <m:sSub>
          <m:e>
            <m:r>
              <m:t>b</m:t>
            </m:r>
          </m:e>
          <m:sub>
            <m:r>
              <m:t>t</m:t>
            </m:r>
          </m:sub>
        </m:sSub>
      </m:oMath>
      <w:r>
        <w:rPr>
          <w:rFonts w:ascii="宋体" w:hAnsi="宋体" w:eastAsia="宋体"/>
          <w:sz w:val="21"/>
        </w:rPr>
        <w:t xml:space="preserve"> 为基价、只对净调整计费）并列报告，二者差异见 §7.5。</w:t>
      </w:r>
    </w:p>
    <w:p>
      <w:pPr>
        <w:pStyle w:val="Heading2"/>
        <w:ind w:firstLine="0"/>
      </w:pPr>
      <w:r>
        <w:rPr>
          <w:rFonts w:ascii="黑体" w:hAnsi="黑体" w:eastAsia="黑体"/>
          <w:sz w:val="26"/>
        </w:rPr>
        <w:t>7.4 滚动执行结果</w:t>
      </w:r>
    </w:p>
    <w:p>
      <w:pPr/>
      <w:r>
        <w:rPr>
          <w:rFonts w:ascii="宋体" w:hAnsi="宋体" w:eastAsia="宋体"/>
          <w:sz w:val="21"/>
        </w:rPr>
        <w:t>在 334 天交付期上滚动求解，主计法 R-b 下滚动方案 S1 总费用为 13537151.33 元，构成为：计划基价 12517803.35 元、上调费用 501902.32 元、下调违约费用 280033.55 元、紧急购电费 237412.11 元；紧急购电量为 52835.77 kWh，储能循环量为 5242231.26 kWh，弃光量为 1732440.85 kWh。初始 SOC 仅在 1 月 1 日设置，2 月 1 日 SOC 为 2269.77 kWh，年末回到 6000 kWh。图 17 以某典型日展示滚动执行过程。</w:t>
      </w:r>
    </w:p>
    <w:p>
      <w:pPr>
        <w:keepNext w:val="1"/>
        <w:ind w:firstLine="0"/>
        <w:jc w:val="center"/>
      </w:pPr>
      <w:r>
        <w:drawing>
          <wp:inline xmlns:a="http://schemas.openxmlformats.org/drawingml/2006/main" xmlns:pic="http://schemas.openxmlformats.org/drawingml/2006/picture">
            <wp:extent cx="5400000" cy="2924167"/>
            <wp:docPr id="16" name="Picture 16" descr="滚动窗口逐次缩短且已执行决策不可回写"/>
            <wp:cNvGraphicFramePr>
              <a:graphicFrameLocks noChangeAspect="1"/>
            </wp:cNvGraphicFramePr>
            <a:graphic>
              <a:graphicData uri="http://schemas.openxmlformats.org/drawingml/2006/picture">
                <pic:pic>
                  <pic:nvPicPr>
                    <pic:cNvPr id="0" name="fig_q3_rolling_timeline.png"/>
                    <pic:cNvPicPr/>
                  </pic:nvPicPr>
                  <pic:blipFill>
                    <a:blip r:embed="rId26"/>
                    <a:stretch>
                      <a:fillRect/>
                    </a:stretch>
                  </pic:blipFill>
                  <pic:spPr>
                    <a:xfrm>
                      <a:off x="0" y="0"/>
                      <a:ext cx="5400000" cy="2924167"/>
                    </a:xfrm>
                    <a:prstGeom prst="rect"/>
                  </pic:spPr>
                </pic:pic>
              </a:graphicData>
            </a:graphic>
          </wp:inline>
        </w:drawing>
      </w:r>
    </w:p>
    <w:p>
      <w:pPr>
        <w:pStyle w:val="Caption"/>
        <w:spacing w:after="100"/>
        <w:ind w:firstLine="0"/>
        <w:jc w:val="center"/>
      </w:pPr>
      <w:r>
        <w:rPr>
          <w:rFonts w:ascii="宋体" w:hAnsi="宋体" w:eastAsia="宋体"/>
          <w:sz w:val="18"/>
        </w:rPr>
        <w:t>图 17 日前计划与滚动执行对照</w:t>
      </w:r>
    </w:p>
    <w:p>
      <w:pPr/>
      <w:r>
        <w:rPr>
          <w:rFonts w:ascii="宋体" w:hAnsi="宋体" w:eastAsia="宋体"/>
          <w:sz w:val="21"/>
        </w:rPr>
        <w:t xml:space="preserve">图中决策时刻的边界随 </w:t>
      </w:r>
      <m:oMath>
        <m:r>
          <m:t>τ(h)</m:t>
        </m:r>
      </m:oMath>
      <w:r>
        <w:rPr>
          <w:rFonts w:ascii="宋体" w:hAnsi="宋体" w:eastAsia="宋体"/>
          <w:sz w:val="21"/>
        </w:rPr>
        <w:t xml:space="preserve"> 右移；上面板对照 0:00 原计划 </w:t>
      </w:r>
      <m:oMath>
        <m:sSub>
          <m:e>
            <m:r>
              <m:t>b</m:t>
            </m:r>
          </m:e>
          <m:sub>
            <m:r>
              <m:t>t</m:t>
            </m:r>
          </m:sub>
        </m:sSub>
      </m:oMath>
      <w:r>
        <w:rPr>
          <w:rFonts w:ascii="宋体" w:hAnsi="宋体" w:eastAsia="宋体"/>
          <w:sz w:val="21"/>
        </w:rPr>
        <w:t xml:space="preserve"> 与最终调整量 </w:t>
      </w:r>
      <m:oMath>
        <m:sSub>
          <m:e>
            <m:r>
              <m:t>a</m:t>
            </m:r>
          </m:e>
          <m:sub>
            <m:r>
              <m:t>t</m:t>
            </m:r>
          </m:sub>
        </m:sSub>
      </m:oMath>
      <w:r>
        <w:rPr>
          <w:rFonts w:ascii="宋体" w:hAnsi="宋体" w:eastAsia="宋体"/>
          <w:sz w:val="21"/>
        </w:rPr>
        <w:t xml:space="preserve"> ，下面板给出二者的有符号差：午后随着光伏预报变准，计划被向下修正（对应 </w:t>
      </w:r>
      <m:oMath>
        <m:sSup>
          <m:e>
            <m:r>
              <m:t>d</m:t>
            </m:r>
          </m:e>
          <m:sup>
            <m:r>
              <m:t>−</m:t>
            </m:r>
          </m:sup>
        </m:sSup>
      </m:oMath>
      <w:r>
        <w:rPr>
          <w:rFonts w:ascii="宋体" w:hAnsi="宋体" w:eastAsia="宋体"/>
          <w:sz w:val="21"/>
        </w:rPr>
        <w:t xml:space="preserve">），傍晚负载抬升时被向上修正（对应 </w:t>
      </w:r>
      <m:oMath>
        <m:sSup>
          <m:e>
            <m:r>
              <m:t>d</m:t>
            </m:r>
          </m:e>
          <m:sup>
            <m:r>
              <m:t>+</m:t>
            </m:r>
          </m:sup>
        </m:sSup>
      </m:oMath>
      <w:r>
        <w:rPr>
          <w:rFonts w:ascii="宋体" w:hAnsi="宋体" w:eastAsia="宋体"/>
          <w:sz w:val="21"/>
        </w:rPr>
        <w:t>），虚线标出三个后续决策时刻。该单日示例显示调整的时段和幅度，不构成总体收益或因果效应的证明。滚动带来的收益需扣除调整费用后净核算，图 18 将各费用分项的差额归结为净节省。</w:t>
      </w:r>
    </w:p>
    <w:p>
      <w:pPr>
        <w:keepNext w:val="1"/>
        <w:ind w:firstLine="0"/>
        <w:jc w:val="center"/>
      </w:pPr>
      <w:r>
        <w:drawing>
          <wp:inline xmlns:a="http://schemas.openxmlformats.org/drawingml/2006/main" xmlns:pic="http://schemas.openxmlformats.org/drawingml/2006/picture">
            <wp:extent cx="5400000" cy="2650026"/>
            <wp:docPr id="17" name="Picture 17" descr="滚动修正以较小调整成本换取更低缺口风险"/>
            <wp:cNvGraphicFramePr>
              <a:graphicFrameLocks noChangeAspect="1"/>
            </wp:cNvGraphicFramePr>
            <a:graphic>
              <a:graphicData uri="http://schemas.openxmlformats.org/drawingml/2006/picture">
                <pic:pic>
                  <pic:nvPicPr>
                    <pic:cNvPr id="0" name="fig_q3_cost_decomp.png"/>
                    <pic:cNvPicPr/>
                  </pic:nvPicPr>
                  <pic:blipFill>
                    <a:blip r:embed="rId27"/>
                    <a:stretch>
                      <a:fillRect/>
                    </a:stretch>
                  </pic:blipFill>
                  <pic:spPr>
                    <a:xfrm>
                      <a:off x="0" y="0"/>
                      <a:ext cx="5400000" cy="2650026"/>
                    </a:xfrm>
                    <a:prstGeom prst="rect"/>
                  </pic:spPr>
                </pic:pic>
              </a:graphicData>
            </a:graphic>
          </wp:inline>
        </w:drawing>
      </w:r>
    </w:p>
    <w:p>
      <w:pPr>
        <w:pStyle w:val="Caption"/>
        <w:spacing w:after="100"/>
        <w:ind w:firstLine="0"/>
        <w:jc w:val="center"/>
      </w:pPr>
      <w:r>
        <w:rPr>
          <w:rFonts w:ascii="宋体" w:hAnsi="宋体" w:eastAsia="宋体"/>
          <w:sz w:val="18"/>
        </w:rPr>
        <w:t>图 18 滚动调整的净收益来源</w:t>
      </w:r>
    </w:p>
    <w:p>
      <w:pPr/>
      <w:r>
        <w:rPr>
          <w:rFonts w:ascii="宋体" w:hAnsi="宋体" w:eastAsia="宋体"/>
          <w:sz w:val="21"/>
        </w:rPr>
        <w:t>差额分解对比了两种内部策略（图 18）：Q3 内部基线 S0 仅在 0:00 锁定计划，总费用 14158935.77 元（计划 13112907.26 元、紧急购电费 1046028.51 元）；S1 允许滚动调整，总费用 13537151.33 元。S1 产生 781935.87 元调整费用（上调 501902.32 元、下调违约 280033.55 元），同时把紧急购电费压到 237412.11 元，相对 Q3 内部 S0 节省 621784.44 元，即 62.18 万元。若以问题二“场景近似日前计划器 + 因果实时执行策略”的 14104438.86 元为跨问题基线，则节省 567287.52 元，即 56.73 万元。两种基线口径不可混用；前者隔离是否允许日内调整，后者回答相对问题二最终方案的费用变化。</w:t>
      </w:r>
    </w:p>
    <w:p>
      <w:pPr/>
      <w:r>
        <w:rPr>
          <w:rFonts w:ascii="宋体" w:hAnsi="宋体" w:eastAsia="宋体"/>
          <w:sz w:val="21"/>
        </w:rPr>
        <w:t>逐日配对费用差的 7 日循环块自助结果表明：相对 Q3 内部 S0 的交付期节省 95% 置信区间为 42.49 万—87.78 万元，相对 Q2 的区间为 37.39 万—79.11 万元，两者下限均高于 0，支持“交付期总体费用改善较稳定”的判断；但逐日胜率分别为 72.8% 和 59.6%，不能据此声称每天都更优。紧急购电量的压制效果可由日历热图直观对比（图 19）。</w:t>
      </w:r>
    </w:p>
    <w:p>
      <w:pPr>
        <w:keepNext w:val="1"/>
        <w:ind w:firstLine="0"/>
        <w:jc w:val="center"/>
      </w:pPr>
      <w:r>
        <w:drawing>
          <wp:inline xmlns:a="http://schemas.openxmlformats.org/drawingml/2006/main" xmlns:pic="http://schemas.openxmlformats.org/drawingml/2006/picture">
            <wp:extent cx="5265000" cy="3159000"/>
            <wp:docPr id="18" name="Picture 18" descr="紧急购电是局部事件而非全年持续现象"/>
            <wp:cNvGraphicFramePr>
              <a:graphicFrameLocks noChangeAspect="1"/>
            </wp:cNvGraphicFramePr>
            <a:graphic>
              <a:graphicData uri="http://schemas.openxmlformats.org/drawingml/2006/picture">
                <pic:pic>
                  <pic:nvPicPr>
                    <pic:cNvPr id="0" name="fig_q2_emergency_calendar.png"/>
                    <pic:cNvPicPr/>
                  </pic:nvPicPr>
                  <pic:blipFill>
                    <a:blip r:embed="rId28"/>
                    <a:stretch>
                      <a:fillRect/>
                    </a:stretch>
                  </pic:blipFill>
                  <pic:spPr>
                    <a:xfrm>
                      <a:off x="0" y="0"/>
                      <a:ext cx="5265000" cy="3159000"/>
                    </a:xfrm>
                    <a:prstGeom prst="rect"/>
                  </pic:spPr>
                </pic:pic>
              </a:graphicData>
            </a:graphic>
          </wp:inline>
        </w:drawing>
      </w:r>
    </w:p>
    <w:p>
      <w:pPr>
        <w:pStyle w:val="Caption"/>
        <w:spacing w:after="100"/>
        <w:ind w:firstLine="0"/>
        <w:jc w:val="center"/>
      </w:pPr>
      <w:r>
        <w:rPr>
          <w:rFonts w:ascii="宋体" w:hAnsi="宋体" w:eastAsia="宋体"/>
          <w:sz w:val="18"/>
        </w:rPr>
        <w:t>图 19 两方案紧急购电日历对比</w:t>
      </w:r>
    </w:p>
    <w:p>
      <w:pPr/>
      <w:r>
        <w:rPr>
          <w:rFonts w:ascii="宋体" w:hAnsi="宋体" w:eastAsia="宋体"/>
          <w:sz w:val="21"/>
        </w:rPr>
        <w:t>上下两行同色标铺开交付期逐日紧急购电量（图 19）：上行为问题二方案（187722.62 kWh），下行为问题三滚动方案（52835.77 kWh），降幅约 71.9%。滚动方案的热点格子更稀疏、颜色更浅，说明缺口削减主要集中在预报更新后可纠正的时段；仍有少数日出现较大紧急购电，不能据此推断所有极端日均已得到充分覆盖。</w:t>
      </w:r>
    </w:p>
    <w:p>
      <w:pPr>
        <w:pStyle w:val="Heading2"/>
        <w:ind w:firstLine="0"/>
      </w:pPr>
      <w:r>
        <w:rPr>
          <w:rFonts w:ascii="黑体" w:hAnsi="黑体" w:eastAsia="黑体"/>
          <w:sz w:val="26"/>
        </w:rPr>
        <w:t>7.5 插值一致性与费用计法</w:t>
      </w:r>
    </w:p>
    <w:p>
      <w:pPr/>
      <w:r>
        <w:rPr>
          <w:rFonts w:ascii="宋体" w:hAnsi="宋体" w:eastAsia="宋体"/>
          <w:sz w:val="21"/>
        </w:rPr>
        <w:t>光伏后续预报以整点给出，需插值到 10 分钟粒度供优化使用。图 20 核查插值的一致性。</w:t>
      </w:r>
    </w:p>
    <w:p>
      <w:pPr>
        <w:keepNext w:val="1"/>
        <w:ind w:firstLine="0"/>
        <w:jc w:val="center"/>
      </w:pPr>
      <w:r>
        <w:drawing>
          <wp:inline xmlns:a="http://schemas.openxmlformats.org/drawingml/2006/main" xmlns:pic="http://schemas.openxmlformats.org/drawingml/2006/picture">
            <wp:extent cx="5265000" cy="4633200"/>
            <wp:docPr id="19" name="Picture 19" descr="插值结果保持日内形状并满足边界约束"/>
            <wp:cNvGraphicFramePr>
              <a:graphicFrameLocks noChangeAspect="1"/>
            </wp:cNvGraphicFramePr>
            <a:graphic>
              <a:graphicData uri="http://schemas.openxmlformats.org/drawingml/2006/picture">
                <pic:pic>
                  <pic:nvPicPr>
                    <pic:cNvPr id="0" name="fig_q3_interp_check.png"/>
                    <pic:cNvPicPr/>
                  </pic:nvPicPr>
                  <pic:blipFill>
                    <a:blip r:embed="rId29"/>
                    <a:stretch>
                      <a:fillRect/>
                    </a:stretch>
                  </pic:blipFill>
                  <pic:spPr>
                    <a:xfrm>
                      <a:off x="0" y="0"/>
                      <a:ext cx="5265000" cy="4633200"/>
                    </a:xfrm>
                    <a:prstGeom prst="rect"/>
                  </pic:spPr>
                </pic:pic>
              </a:graphicData>
            </a:graphic>
          </wp:inline>
        </w:drawing>
      </w:r>
    </w:p>
    <w:p>
      <w:pPr>
        <w:pStyle w:val="Caption"/>
        <w:spacing w:after="100"/>
        <w:ind w:firstLine="0"/>
        <w:jc w:val="center"/>
      </w:pPr>
      <w:r>
        <w:rPr>
          <w:rFonts w:ascii="宋体" w:hAnsi="宋体" w:eastAsia="宋体"/>
          <w:sz w:val="18"/>
        </w:rPr>
        <w:t>图 20 预报插值一致性核查</w:t>
      </w:r>
    </w:p>
    <w:p>
      <w:pPr/>
      <w:r>
        <w:rPr>
          <w:rFonts w:ascii="宋体" w:hAnsi="宋体" w:eastAsia="宋体"/>
          <w:sz w:val="21"/>
        </w:rPr>
        <w:t>图 20 对某典型日的四个发布时刻，画出线性插值折线、附件 3 原始整点预报方块与附件 2 实际功率。插值曲线通过各整点预报点；夜间值仅由发布时刻可获得的预报本身决定，未借用当天未来真实光伏构造掩码。关于费用计法，对照计法 R-a 下 S1 总费用为 13790053.50 元，比主计法 R-b 高约 1.87%。R-a 以原始计划为基价，R-b 以最终执行量与原计划的分段关系计费；题面对此存在解释空间，二者差异不能被当作纯算法效果。本文以 R-b 为主计法并并列报告 R-a，供不同解释核对。</w:t>
      </w:r>
    </w:p>
    <w:p>
      <w:pPr>
        <w:pStyle w:val="Heading1"/>
        <w:ind w:firstLine="0"/>
      </w:pPr>
      <w:r>
        <w:rPr>
          <w:rFonts w:ascii="黑体" w:hAnsi="黑体" w:eastAsia="黑体"/>
          <w:sz w:val="30"/>
        </w:rPr>
        <w:t>八、问题四：波动电价下的模型重构与电价信息价值</w:t>
      </w:r>
    </w:p>
    <w:p>
      <w:pPr>
        <w:pStyle w:val="Heading2"/>
        <w:ind w:firstLine="0"/>
      </w:pPr>
      <w:r>
        <w:rPr>
          <w:rFonts w:ascii="黑体" w:hAnsi="黑体" w:eastAsia="黑体"/>
          <w:sz w:val="26"/>
        </w:rPr>
        <w:t>8.1 电价从固定曲线升级为逐日实时波动</w:t>
      </w:r>
    </w:p>
    <w:p>
      <w:pPr/>
      <w:r>
        <w:rPr>
          <w:rFonts w:ascii="宋体" w:hAnsi="宋体" w:eastAsia="宋体"/>
          <w:sz w:val="21"/>
        </w:rPr>
        <w:t xml:space="preserve">问题四把电价从附件 1 的固定曲线换成附件 4 的逐日实时波动电价 </w:t>
      </w:r>
      <m:oMath>
        <m:sSub>
          <m:e>
            <m:r>
              <m:t>p</m:t>
            </m:r>
          </m:e>
          <m:sub>
            <m:r>
              <m:t>d,t</m:t>
            </m:r>
          </m:sub>
        </m:sSub>
      </m:oMath>
      <w:r>
        <w:rPr>
          <w:rFonts w:ascii="宋体" w:hAnsi="宋体" w:eastAsia="宋体"/>
          <w:sz w:val="21"/>
        </w:rPr>
        <w:t xml:space="preserve">（365×144）。储能物理约束、预测器与滚动框架全部沿用问题二、三，唯一变化是目标函数中的电价由常数 </w:t>
      </w:r>
      <m:oMath>
        <m:sSub>
          <m:e>
            <m:r>
              <m:t>p</m:t>
            </m:r>
          </m:e>
          <m:sub>
            <m:r>
              <m:t>t</m:t>
            </m:r>
          </m:sub>
        </m:sSub>
      </m:oMath>
      <w:r>
        <w:rPr>
          <w:rFonts w:ascii="宋体" w:hAnsi="宋体" w:eastAsia="宋体"/>
          <w:sz w:val="21"/>
        </w:rPr>
        <w:t xml:space="preserve"> 变为随日变化的 </w:t>
      </w:r>
      <m:oMath>
        <m:sSub>
          <m:e>
            <m:r>
              <m:t>p</m:t>
            </m:r>
          </m:e>
          <m:sub>
            <m:r>
              <m:t>d,t</m:t>
            </m:r>
          </m:sub>
        </m:sSub>
      </m:oMath>
      <w:r>
        <w:rPr>
          <w:rFonts w:ascii="宋体" w:hAnsi="宋体" w:eastAsia="宋体"/>
          <w:sz w:val="21"/>
        </w:rPr>
        <w:t>，并需评估"电价信息何时可知"对费用的影响。图 21 先刻画波动电价与固定电价的差异。</w:t>
      </w:r>
    </w:p>
    <w:p>
      <w:pPr>
        <w:keepNext w:val="1"/>
        <w:ind w:firstLine="0"/>
        <w:jc w:val="center"/>
      </w:pPr>
      <w:r>
        <w:drawing>
          <wp:inline xmlns:a="http://schemas.openxmlformats.org/drawingml/2006/main" xmlns:pic="http://schemas.openxmlformats.org/drawingml/2006/picture">
            <wp:extent cx="5400000" cy="3700899"/>
            <wp:docPr id="20" name="Picture 20" descr="月均日内峰谷位置随月份漂移；不是概率分布图"/>
            <wp:cNvGraphicFramePr>
              <a:graphicFrameLocks noChangeAspect="1"/>
            </wp:cNvGraphicFramePr>
            <a:graphic>
              <a:graphicData uri="http://schemas.openxmlformats.org/drawingml/2006/picture">
                <pic:pic>
                  <pic:nvPicPr>
                    <pic:cNvPr id="0" name="fig_q4_price_ridgeline.png"/>
                    <pic:cNvPicPr/>
                  </pic:nvPicPr>
                  <pic:blipFill>
                    <a:blip r:embed="rId30"/>
                    <a:stretch>
                      <a:fillRect/>
                    </a:stretch>
                  </pic:blipFill>
                  <pic:spPr>
                    <a:xfrm>
                      <a:off x="0" y="0"/>
                      <a:ext cx="5400000" cy="3700899"/>
                    </a:xfrm>
                    <a:prstGeom prst="rect"/>
                  </pic:spPr>
                </pic:pic>
              </a:graphicData>
            </a:graphic>
          </wp:inline>
        </w:drawing>
      </w:r>
    </w:p>
    <w:p>
      <w:pPr>
        <w:pStyle w:val="Caption"/>
        <w:spacing w:after="100"/>
        <w:ind w:firstLine="0"/>
        <w:jc w:val="center"/>
      </w:pPr>
      <w:r>
        <w:rPr>
          <w:rFonts w:ascii="宋体" w:hAnsi="宋体" w:eastAsia="宋体"/>
          <w:sz w:val="18"/>
        </w:rPr>
        <w:t>图 21 逐月电价与固定基准对照</w:t>
      </w:r>
    </w:p>
    <w:p>
      <w:pPr/>
      <w:r>
        <w:rPr>
          <w:rFonts w:ascii="宋体" w:hAnsi="宋体" w:eastAsia="宋体"/>
          <w:sz w:val="21"/>
        </w:rPr>
        <w:t xml:space="preserve">图 21 将附件 4 十二个月的平均日内电价分别绘于统一坐标面板，蓝色实线为月均电价，橙色虚线为附件 1 固定基准；各面板不作纵向平移，可直接比较绝对水平。波动电价全年区间 </w:t>
      </w:r>
      <m:oMath>
        <m:d>
          <m:dPr>
            <m:begChr m:val="["/>
            <m:sepChr m:val=","/>
            <m:endChr m:val="]"/>
          </m:dPr>
          <m:e>
            <m:r>
              <m:t>0.0076</m:t>
            </m:r>
          </m:e>
          <m:e>
            <m:r>
              <m:t>1.7936</m:t>
            </m:r>
          </m:e>
        </m:d>
      </m:oMath>
      <w:r>
        <w:rPr>
          <w:rFonts w:ascii="宋体" w:hAnsi="宋体" w:eastAsia="宋体"/>
          <w:sz w:val="21"/>
        </w:rPr>
        <w:t xml:space="preserve"> 元/kWh、均值 0.7662，远比固定电价的 </w:t>
      </w:r>
      <m:oMath>
        <m:d>
          <m:dPr>
            <m:begChr m:val="["/>
            <m:sepChr m:val=","/>
            <m:endChr m:val="]"/>
          </m:dPr>
          <m:e>
            <m:r>
              <m:t>0.3713</m:t>
            </m:r>
          </m:e>
          <m:e>
            <m:r>
              <m:t>1.3952</m:t>
            </m:r>
          </m:e>
        </m:d>
      </m:oMath>
      <w:r>
        <w:rPr>
          <w:rFonts w:ascii="宋体" w:hAnsi="宋体" w:eastAsia="宋体"/>
          <w:sz w:val="21"/>
        </w:rPr>
        <w:t xml:space="preserve"> 更宽；且峰谷位置逐月漂移，夏季高价带明显加宽并向傍晚偏移。这意味着固定电价"同一时段永远同价"的假设不再成立，储能套利的时机也随日变化。价格的时空结构可由 Hovmöller 图进一步展开（图 22）。</w:t>
      </w:r>
    </w:p>
    <w:p>
      <w:pPr>
        <w:keepNext w:val="1"/>
        <w:ind w:firstLine="0"/>
        <w:jc w:val="center"/>
      </w:pPr>
      <w:r>
        <w:drawing>
          <wp:inline xmlns:a="http://schemas.openxmlformats.org/drawingml/2006/main" xmlns:pic="http://schemas.openxmlformats.org/drawingml/2006/picture">
            <wp:extent cx="5265000" cy="3159000"/>
            <wp:docPr id="21" name="Picture 21" descr="高价带沿季节和日内峰段形成可追踪结构"/>
            <wp:cNvGraphicFramePr>
              <a:graphicFrameLocks noChangeAspect="1"/>
            </wp:cNvGraphicFramePr>
            <a:graphic>
              <a:graphicData uri="http://schemas.openxmlformats.org/drawingml/2006/picture">
                <pic:pic>
                  <pic:nvPicPr>
                    <pic:cNvPr id="0" name="fig_q4_price_hovmoller.png"/>
                    <pic:cNvPicPr/>
                  </pic:nvPicPr>
                  <pic:blipFill>
                    <a:blip r:embed="rId31"/>
                    <a:stretch>
                      <a:fillRect/>
                    </a:stretch>
                  </pic:blipFill>
                  <pic:spPr>
                    <a:xfrm>
                      <a:off x="0" y="0"/>
                      <a:ext cx="5265000" cy="3159000"/>
                    </a:xfrm>
                    <a:prstGeom prst="rect"/>
                  </pic:spPr>
                </pic:pic>
              </a:graphicData>
            </a:graphic>
          </wp:inline>
        </w:drawing>
      </w:r>
    </w:p>
    <w:p>
      <w:pPr>
        <w:pStyle w:val="Caption"/>
        <w:spacing w:after="100"/>
        <w:ind w:firstLine="0"/>
        <w:jc w:val="center"/>
      </w:pPr>
      <w:r>
        <w:rPr>
          <w:rFonts w:ascii="宋体" w:hAnsi="宋体" w:eastAsia="宋体"/>
          <w:sz w:val="18"/>
        </w:rPr>
        <w:t>图 22 波动电价日期时刻热图</w:t>
      </w:r>
    </w:p>
    <w:p>
      <w:pPr/>
      <w:r>
        <w:rPr>
          <w:rFonts w:ascii="宋体" w:hAnsi="宋体" w:eastAsia="宋体"/>
          <w:sz w:val="21"/>
        </w:rPr>
        <w:t>图 22 左图把 365 天 ×144 段电价铺成日期-时刻热图，右图为逐日日内价差。价格高值带在夏季（约第 150–240 天）显著加宽并向傍晚延伸，与图 21 的季节漂移一致；右图显示多数日份的日内价差高于附件 1 的 1.024 元/kWh，全年均值升到 1.099 元/kWh。价差扩大与储能循环量上升方向一致，但固定与波动电价数据中的均值、价差和时变结构同时变化，因此不能把循环量或费用变化仅归因于某一个电价特征。</w:t>
      </w:r>
    </w:p>
    <w:p>
      <w:pPr>
        <w:pStyle w:val="Heading2"/>
        <w:ind w:firstLine="0"/>
      </w:pPr>
      <w:r>
        <w:rPr>
          <w:rFonts w:ascii="黑体" w:hAnsi="黑体" w:eastAsia="黑体"/>
          <w:sz w:val="26"/>
        </w:rPr>
        <w:t>8.2 电价信息价值的双设定评估</w:t>
      </w:r>
    </w:p>
    <w:p>
      <w:pPr/>
      <w:r>
        <w:rPr>
          <w:rFonts w:ascii="宋体" w:hAnsi="宋体" w:eastAsia="宋体"/>
          <w:sz w:val="21"/>
        </w:rPr>
        <w:t xml:space="preserve">波动电价下 0:00 制定计划时，当日电价是否已知构成一个关键问题。为此设两种设定：主设定“0:00 已知当日波动电价”（作为信息较充分的对照界，直接把电价源换成实际 </w:t>
      </w:r>
      <m:oMath>
        <m:sSub>
          <m:e>
            <m:r>
              <m:t>p</m:t>
            </m:r>
          </m:e>
          <m:sub>
            <m:r>
              <m:t>d,t</m:t>
            </m:r>
          </m:sub>
        </m:sSub>
      </m:oMath>
      <w:r>
        <w:rPr>
          <w:rFonts w:ascii="宋体" w:hAnsi="宋体" w:eastAsia="宋体"/>
          <w:sz w:val="21"/>
        </w:rPr>
        <w:t xml:space="preserve"> 重跑问题二、三）；第二设定“电价需预测”，用同日型最近 </w:t>
      </w:r>
      <m:oMath>
        <m:r>
          <m:t>W=4</m:t>
        </m:r>
      </m:oMath>
      <w:r>
        <w:rPr>
          <w:rFonts w:ascii="宋体" w:hAnsi="宋体" w:eastAsia="宋体"/>
          <w:sz w:val="21"/>
        </w:rPr>
        <w:t xml:space="preserve"> 天同时段均价作电价点预测 </w:t>
      </w:r>
      <m:oMath>
        <m:sSub>
          <m:e>
            <m:acc>
              <m:accPr>
                <m:chr m:val="̂"/>
              </m:accPr>
              <m:e>
                <m:r>
                  <m:t>p</m:t>
                </m:r>
              </m:e>
            </m:acc>
          </m:e>
          <m:sub>
            <m:r>
              <m:t>d,t</m:t>
            </m:r>
          </m:sub>
        </m:sSub>
      </m:oMath>
      <w:r>
        <w:rPr>
          <w:rFonts w:ascii="宋体" w:hAnsi="宋体" w:eastAsia="宋体"/>
          <w:sz w:val="21"/>
        </w:rPr>
        <w:t xml:space="preserve">，且历史索引均满足 </w:t>
      </w:r>
      <m:oMath>
        <m:r>
          <m:t>j&lt;d</m:t>
        </m:r>
      </m:oMath>
      <w:r>
        <w:rPr>
          <w:rFonts w:ascii="宋体" w:hAnsi="宋体" w:eastAsia="宋体"/>
          <w:sz w:val="21"/>
        </w:rPr>
        <w:t xml:space="preserve">，计划按 </w:t>
      </w:r>
      <m:oMath>
        <m:acc>
          <m:accPr>
            <m:chr m:val="̂"/>
          </m:accPr>
          <m:e>
            <m:r>
              <m:t>p</m:t>
            </m:r>
          </m:e>
        </m:acc>
      </m:oMath>
      <w:r>
        <w:rPr>
          <w:rFonts w:ascii="宋体" w:hAnsi="宋体" w:eastAsia="宋体"/>
          <w:sz w:val="21"/>
        </w:rPr>
        <w:t xml:space="preserve"> 制定、结算按实际 </w:t>
      </w:r>
      <m:oMath>
        <m:r>
          <m:t>p</m:t>
        </m:r>
      </m:oMath>
      <w:r>
        <w:rPr>
          <w:rFonts w:ascii="宋体" w:hAnsi="宋体" w:eastAsia="宋体"/>
          <w:sz w:val="21"/>
        </w:rPr>
        <w:t xml:space="preserve"> 计费。Q4 各决策时刻的信息边界为：0:00 仅能使用上一日末 SOC、早于当日的历史 </w:t>
      </w:r>
      <m:oMath>
        <m:r>
          <m:t>L,G,p</m:t>
        </m:r>
      </m:oMath>
      <w:r>
        <w:rPr>
          <w:rFonts w:ascii="宋体" w:hAnsi="宋体" w:eastAsia="宋体"/>
          <w:sz w:val="21"/>
        </w:rPr>
        <w:t xml:space="preserve"> 以及当日 </w:t>
      </w:r>
      <m:oMath>
        <m:acc>
          <m:accPr>
            <m:chr m:val="̂"/>
          </m:accPr>
          <m:e>
            <m:r>
              <m:t>L</m:t>
            </m:r>
          </m:e>
        </m:acc>
        <m:r>
          <m:t>,</m:t>
        </m:r>
        <m:acc>
          <m:accPr>
            <m:chr m:val="̂"/>
          </m:accPr>
          <m:e>
            <m:r>
              <m:t>G</m:t>
            </m:r>
          </m:e>
        </m:acc>
        <m:r>
          <m:t>,</m:t>
        </m:r>
        <m:acc>
          <m:accPr>
            <m:chr m:val="̂"/>
          </m:accPr>
          <m:e>
            <m:r>
              <m:t>p</m:t>
            </m:r>
          </m:e>
        </m:acc>
      </m:oMath>
      <w:r>
        <w:rPr>
          <w:rFonts w:ascii="宋体" w:hAnsi="宋体" w:eastAsia="宋体"/>
          <w:sz w:val="21"/>
        </w:rPr>
        <w:t xml:space="preserve">（已知电价对照中以 </w:t>
      </w:r>
      <m:oMath>
        <m:r>
          <m:t>p</m:t>
        </m:r>
      </m:oMath>
      <w:r>
        <w:rPr>
          <w:rFonts w:ascii="宋体" w:hAnsi="宋体" w:eastAsia="宋体"/>
          <w:sz w:val="21"/>
        </w:rPr>
        <w:t xml:space="preserve"> 替代 </w:t>
      </w:r>
      <m:oMath>
        <m:acc>
          <m:accPr>
            <m:chr m:val="̂"/>
          </m:accPr>
          <m:e>
            <m:r>
              <m:t>p</m:t>
            </m:r>
          </m:e>
        </m:acc>
      </m:oMath>
      <w:r>
        <w:rPr>
          <w:rFonts w:ascii="宋体" w:hAnsi="宋体" w:eastAsia="宋体"/>
          <w:sz w:val="21"/>
        </w:rPr>
        <w:t xml:space="preserve">）；6:00、12:00、18:00 分别增加截至该时刻已经实现的 </w:t>
      </w:r>
      <m:oMath>
        <m:r>
          <m:t>L,G,p</m:t>
        </m:r>
      </m:oMath>
      <w:r>
        <w:rPr>
          <w:rFonts w:ascii="宋体" w:hAnsi="宋体" w:eastAsia="宋体"/>
          <w:sz w:val="21"/>
        </w:rPr>
        <w:t xml:space="preserve"> 和当前 SOC，对其后时段仍只使用对应的更新预测。场景规划量则始终写为 </w:t>
      </w:r>
      <m:oMath>
        <m:sSup>
          <m:e>
            <m:r>
              <m:t>L</m:t>
            </m:r>
          </m:e>
          <m:sup>
            <m:r>
              <m:t>ω</m:t>
            </m:r>
          </m:sup>
        </m:sSup>
        <m:r>
          <m:t>,</m:t>
        </m:r>
        <m:sSup>
          <m:e>
            <m:r>
              <m:t>G</m:t>
            </m:r>
          </m:e>
          <m:sup>
            <m:r>
              <m:t>ω</m:t>
            </m:r>
          </m:sup>
        </m:sSup>
        <m:r>
          <m:t>,</m:t>
        </m:r>
        <m:sSup>
          <m:e>
            <m:r>
              <m:t>p</m:t>
            </m:r>
          </m:e>
          <m:sup>
            <m:r>
              <m:t>ω</m:t>
            </m:r>
          </m:sup>
        </m:sSup>
      </m:oMath>
      <w:r>
        <w:rPr>
          <w:rFonts w:ascii="宋体" w:hAnsi="宋体" w:eastAsia="宋体"/>
          <w:sz w:val="21"/>
        </w:rPr>
        <w:t>，不与实际量混写。</w:t>
      </w:r>
    </w:p>
    <w:p>
      <w:pPr/>
      <w:r>
        <w:rPr>
          <w:rFonts w:ascii="宋体" w:hAnsi="宋体" w:eastAsia="宋体"/>
          <w:sz w:val="21"/>
        </w:rPr>
        <w:t>以问题二结构（4-2）为例，已知电价下总费用为 14766939.34 元，预测电价下为 14841188.78 元，二者相差 74249.44 元，占比 0.50%；对应电价预测 MAE 为 0.037024 元/kWh。问题三结构（4-3）在已知电价下 S1 总费用为 14176685.99 元、紧急购电量为 57911.83 kWh，相对其波动电价内部 S0 节省 679196.10 元。该差额是在两种明确的信息设定下得到的费用比较，不代表单独识别了某种电价特征的因果效应。</w:t>
      </w:r>
    </w:p>
    <w:p>
      <w:pPr>
        <w:pStyle w:val="Heading2"/>
        <w:ind w:firstLine="0"/>
      </w:pPr>
      <w:r>
        <w:rPr>
          <w:rFonts w:ascii="黑体" w:hAnsi="黑体" w:eastAsia="黑体"/>
          <w:sz w:val="26"/>
        </w:rPr>
        <w:t>8.3 固定电价与波动电价的系统对照</w:t>
      </w:r>
    </w:p>
    <w:p>
      <w:pPr/>
      <w:r>
        <w:rPr>
          <w:rFonts w:ascii="宋体" w:hAnsi="宋体" w:eastAsia="宋体"/>
          <w:sz w:val="21"/>
        </w:rPr>
        <w:t>在同一 334 天范围下，把问题二/三（固定电价）与问题四（波动电价）逐项对照，如图 23。</w:t>
      </w:r>
    </w:p>
    <w:p>
      <w:pPr>
        <w:keepNext w:val="1"/>
        <w:ind w:firstLine="0"/>
        <w:jc w:val="center"/>
      </w:pPr>
      <w:r>
        <w:drawing>
          <wp:inline xmlns:a="http://schemas.openxmlformats.org/drawingml/2006/main" xmlns:pic="http://schemas.openxmlformats.org/drawingml/2006/picture">
            <wp:extent cx="5265000" cy="2983500"/>
            <wp:docPr id="22" name="Picture 22" descr="价格波动改变成本结构但不推翻滚动策略优势"/>
            <wp:cNvGraphicFramePr>
              <a:graphicFrameLocks noChangeAspect="1"/>
            </wp:cNvGraphicFramePr>
            <a:graphic>
              <a:graphicData uri="http://schemas.openxmlformats.org/drawingml/2006/picture">
                <pic:pic>
                  <pic:nvPicPr>
                    <pic:cNvPr id="0" name="fig_q4_fixed_vs_vol.png"/>
                    <pic:cNvPicPr/>
                  </pic:nvPicPr>
                  <pic:blipFill>
                    <a:blip r:embed="rId32"/>
                    <a:stretch>
                      <a:fillRect/>
                    </a:stretch>
                  </pic:blipFill>
                  <pic:spPr>
                    <a:xfrm>
                      <a:off x="0" y="0"/>
                      <a:ext cx="5265000" cy="2983500"/>
                    </a:xfrm>
                    <a:prstGeom prst="rect"/>
                  </pic:spPr>
                </pic:pic>
              </a:graphicData>
            </a:graphic>
          </wp:inline>
        </w:drawing>
      </w:r>
    </w:p>
    <w:p>
      <w:pPr>
        <w:pStyle w:val="Caption"/>
        <w:spacing w:after="100"/>
        <w:ind w:firstLine="0"/>
        <w:jc w:val="center"/>
      </w:pPr>
      <w:r>
        <w:rPr>
          <w:rFonts w:ascii="宋体" w:hAnsi="宋体" w:eastAsia="宋体"/>
          <w:sz w:val="18"/>
        </w:rPr>
        <w:t>图 23 固定与波动电价指标对照</w:t>
      </w:r>
    </w:p>
    <w:p>
      <w:pPr/>
      <w:r>
        <w:rPr>
          <w:rFonts w:ascii="宋体" w:hAnsi="宋体" w:eastAsia="宋体"/>
          <w:sz w:val="21"/>
        </w:rPr>
        <w:t>其中左侧列出六项指标的绝对值及单位，右侧给出波动电价相对固定电价的变化率。波动电价下，问题二结构总费用由 1410.44 万元升到 1476.69 万元、升幅约 4.70%，问题三滚动总费用由 1353.72 万元升到 1417.67 万元、升幅约 4.72%；问题三储能循环量由 5.242 GWh 升到 5.524 GWh、升幅约 5.38%，紧急购电量由 5.284 万 kWh 升到 5.791 万 kWh、升幅约 9.61%，日内价差扩大 7.32%。波动电价下计划购电量的 70.97% 落在当日低于日内中位价的时段，表明求解结果利用了价格谷值。由于均值、价差与波动结构同时改变，上述比较只能说明整体电价数据替换后的联合变化，关于单一因素的因果解释应保持谨慎。</w:t>
      </w:r>
    </w:p>
    <w:p>
      <w:pPr>
        <w:pStyle w:val="Heading1"/>
        <w:ind w:firstLine="0"/>
      </w:pPr>
      <w:r>
        <w:rPr>
          <w:rFonts w:ascii="黑体" w:hAnsi="黑体" w:eastAsia="黑体"/>
          <w:sz w:val="30"/>
        </w:rPr>
        <w:t>九、敏感度分析与模型评价</w:t>
      </w:r>
    </w:p>
    <w:p>
      <w:pPr>
        <w:pStyle w:val="Heading2"/>
        <w:ind w:firstLine="0"/>
      </w:pPr>
      <w:r>
        <w:rPr>
          <w:rFonts w:ascii="黑体" w:hAnsi="黑体" w:eastAsia="黑体"/>
          <w:sz w:val="26"/>
        </w:rPr>
        <w:t>9.1 关键参数的敏感度</w:t>
      </w:r>
    </w:p>
    <w:p>
      <w:pPr/>
      <w:r>
        <w:rPr>
          <w:rFonts w:ascii="宋体" w:hAnsi="宋体" w:eastAsia="宋体"/>
          <w:sz w:val="21"/>
        </w:rPr>
        <w:t xml:space="preserve">模型表现取决于储能效率读法、负载预测窗口 </w:t>
      </w:r>
      <m:oMath>
        <m:r>
          <m:t>W</m:t>
        </m:r>
      </m:oMath>
      <w:r>
        <w:rPr>
          <w:rFonts w:ascii="宋体" w:hAnsi="宋体" w:eastAsia="宋体"/>
          <w:sz w:val="21"/>
        </w:rPr>
        <w:t xml:space="preserve">、光伏预报提前期和备用裕度 </w:t>
      </w:r>
      <m:oMath>
        <m:r>
          <m:t>m</m:t>
        </m:r>
      </m:oMath>
      <w:r>
        <w:rPr>
          <w:rFonts w:ascii="宋体" w:hAnsi="宋体" w:eastAsia="宋体"/>
          <w:sz w:val="21"/>
        </w:rPr>
        <w:t xml:space="preserve">。效率读法与裕度 U 形已分别在 §5.5 与 §6.5 讨论。负载预测窗口 </w:t>
      </w:r>
      <m:oMath>
        <m:r>
          <m:t>W</m:t>
        </m:r>
      </m:oMath>
      <w:r>
        <w:rPr>
          <w:rFonts w:ascii="宋体" w:hAnsi="宋体" w:eastAsia="宋体"/>
          <w:sz w:val="21"/>
        </w:rPr>
        <w:t xml:space="preserve"> 的交付期 MAE 为：</w:t>
      </w:r>
      <m:oMath>
        <m:r>
          <m:t>W=2</m:t>
        </m:r>
      </m:oMath>
      <w:r>
        <w:rPr>
          <w:rFonts w:ascii="宋体" w:hAnsi="宋体" w:eastAsia="宋体"/>
          <w:sz w:val="21"/>
        </w:rPr>
        <w:t xml:space="preserve"> 时 140.27 kW、</w:t>
      </w:r>
      <m:oMath>
        <m:r>
          <m:t>W=3</m:t>
        </m:r>
      </m:oMath>
      <w:r>
        <w:rPr>
          <w:rFonts w:ascii="宋体" w:hAnsi="宋体" w:eastAsia="宋体"/>
          <w:sz w:val="21"/>
        </w:rPr>
        <w:t xml:space="preserve"> 时 137.31 kW、</w:t>
      </w:r>
      <m:oMath>
        <m:r>
          <m:t>W=4</m:t>
        </m:r>
      </m:oMath>
      <w:r>
        <w:rPr>
          <w:rFonts w:ascii="宋体" w:hAnsi="宋体" w:eastAsia="宋体"/>
          <w:sz w:val="21"/>
        </w:rPr>
        <w:t xml:space="preserve"> 时 137.52 kW、</w:t>
      </w:r>
      <m:oMath>
        <m:r>
          <m:t>W=6</m:t>
        </m:r>
      </m:oMath>
      <w:r>
        <w:rPr>
          <w:rFonts w:ascii="宋体" w:hAnsi="宋体" w:eastAsia="宋体"/>
          <w:sz w:val="21"/>
        </w:rPr>
        <w:t xml:space="preserve"> 时 142.07 kW、</w:t>
      </w:r>
      <m:oMath>
        <m:r>
          <m:t>W=8</m:t>
        </m:r>
      </m:oMath>
      <w:r>
        <w:rPr>
          <w:rFonts w:ascii="宋体" w:hAnsi="宋体" w:eastAsia="宋体"/>
          <w:sz w:val="21"/>
        </w:rPr>
        <w:t xml:space="preserve"> 时 148.34 kW。</w:t>
      </w:r>
      <m:oMath>
        <m:r>
          <m:t>W=3~4</m:t>
        </m:r>
      </m:oMath>
      <w:r>
        <w:rPr>
          <w:rFonts w:ascii="宋体" w:hAnsi="宋体" w:eastAsia="宋体"/>
          <w:sz w:val="21"/>
        </w:rPr>
        <w:t xml:space="preserve"> 位于误差较低的稳健平台；较短窗口适应近期变化更快，但方差较大，较长窗口更平滑但可能滞后于季节漂移。本文选择 </w:t>
      </w:r>
      <m:oMath>
        <m:r>
          <m:t>W=4</m:t>
        </m:r>
      </m:oMath>
      <w:r>
        <w:rPr>
          <w:rFonts w:ascii="宋体" w:hAnsi="宋体" w:eastAsia="宋体"/>
          <w:sz w:val="21"/>
        </w:rPr>
        <w:t xml:space="preserve"> 是在适应性与稳定性之间折中，而不是笼统认为窗口越长越能跟踪季节漂移。光伏预报的提前期效应更为显著（图 24）。</w:t>
      </w:r>
    </w:p>
    <w:p>
      <w:pPr>
        <w:keepNext w:val="1"/>
        <w:ind w:firstLine="0"/>
        <w:jc w:val="center"/>
      </w:pPr>
      <w:r>
        <w:drawing>
          <wp:inline xmlns:a="http://schemas.openxmlformats.org/drawingml/2006/main" xmlns:pic="http://schemas.openxmlformats.org/drawingml/2006/picture">
            <wp:extent cx="5265000" cy="2895750"/>
            <wp:docPr id="23" name="Picture 23" descr="长提前期误差总体更大，局部有回落；不声称严格单调"/>
            <wp:cNvGraphicFramePr>
              <a:graphicFrameLocks noChangeAspect="1"/>
            </wp:cNvGraphicFramePr>
            <a:graphic>
              <a:graphicData uri="http://schemas.openxmlformats.org/drawingml/2006/picture">
                <pic:pic>
                  <pic:nvPicPr>
                    <pic:cNvPr id="0" name="fig_forecast_decay.png"/>
                    <pic:cNvPicPr/>
                  </pic:nvPicPr>
                  <pic:blipFill>
                    <a:blip r:embed="rId33"/>
                    <a:stretch>
                      <a:fillRect/>
                    </a:stretch>
                  </pic:blipFill>
                  <pic:spPr>
                    <a:xfrm>
                      <a:off x="0" y="0"/>
                      <a:ext cx="5265000" cy="2895750"/>
                    </a:xfrm>
                    <a:prstGeom prst="rect"/>
                  </pic:spPr>
                </pic:pic>
              </a:graphicData>
            </a:graphic>
          </wp:inline>
        </w:drawing>
      </w:r>
    </w:p>
    <w:p>
      <w:pPr>
        <w:pStyle w:val="Caption"/>
        <w:spacing w:after="100"/>
        <w:ind w:firstLine="0"/>
        <w:jc w:val="center"/>
      </w:pPr>
      <w:r>
        <w:rPr>
          <w:rFonts w:ascii="宋体" w:hAnsi="宋体" w:eastAsia="宋体"/>
          <w:sz w:val="18"/>
        </w:rPr>
        <w:t>图 24 光伏预报误差随提前期变化</w:t>
      </w:r>
    </w:p>
    <w:p>
      <w:pPr/>
      <w:r>
        <w:rPr>
          <w:rFonts w:ascii="宋体" w:hAnsi="宋体" w:eastAsia="宋体"/>
          <w:sz w:val="21"/>
        </w:rPr>
        <w:t>汇总附件 3 全年全部发布时刻、对齐附件 2 实际功率后的光伏预报 MAE 随提前期变化（图 24），可见误差随提前期总体放大。提前 1 h 的 MAE 为 18.69 kW，提前 24 h 达 374.79 kW。0:00、6:00、12:00 对午后目标时段的汇总 MAE 分别约为 181.97、121.94、65.68 kW，与“越临近通常越准”的方向一致。敏感度分析用于检查结果对设定的响应，不能替代独立测试集上的验证。</w:t>
      </w:r>
    </w:p>
    <w:p>
      <w:pPr>
        <w:pStyle w:val="Heading2"/>
        <w:ind w:firstLine="0"/>
      </w:pPr>
      <w:r>
        <w:rPr>
          <w:rFonts w:ascii="黑体" w:hAnsi="黑体" w:eastAsia="黑体"/>
          <w:sz w:val="26"/>
        </w:rPr>
        <w:t>9.2 统计不确定性与分组表现</w:t>
      </w:r>
    </w:p>
    <w:p>
      <w:pPr/>
      <w:r>
        <w:rPr>
          <w:rFonts w:ascii="宋体" w:hAnsi="宋体" w:eastAsia="宋体"/>
          <w:sz w:val="21"/>
        </w:rPr>
        <w:t xml:space="preserve">以交付期 334 个逐日费用为配对样本，分别计算 </w:t>
      </w:r>
      <m:oMath>
        <m:sSub>
          <m:e>
            <m:r>
              <m:t>Δ</m:t>
            </m:r>
          </m:e>
          <m:sub>
            <m:r>
              <m:t>d</m:t>
            </m:r>
          </m:sub>
        </m:sSub>
        <m:r>
          <m:t>=</m:t>
        </m:r>
        <m:sSub>
          <m:e>
            <m:r>
              <m:t>C</m:t>
            </m:r>
          </m:e>
          <m:sub>
            <m:r>
              <m:t>S0,d</m:t>
            </m:r>
          </m:sub>
        </m:sSub>
        <m:r>
          <m:t>−</m:t>
        </m:r>
        <m:sSub>
          <m:e>
            <m:r>
              <m:t>C</m:t>
            </m:r>
          </m:e>
          <m:sub>
            <m:r>
              <m:t>S1,d</m:t>
            </m:r>
          </m:sub>
        </m:sSub>
      </m:oMath>
      <w:r>
        <w:rPr>
          <w:rFonts w:ascii="宋体" w:hAnsi="宋体" w:eastAsia="宋体"/>
          <w:sz w:val="21"/>
        </w:rPr>
        <w:t xml:space="preserve"> 与 </w:t>
      </w:r>
      <m:oMath>
        <m:sSubSup>
          <m:e>
            <m:r>
              <m:t>Δ</m:t>
            </m:r>
          </m:e>
          <m:sub>
            <m:r>
              <m:t>d</m:t>
            </m:r>
          </m:sub>
          <m:sup>
            <m:r>
              <m:t>′</m:t>
            </m:r>
          </m:sup>
        </m:sSubSup>
        <m:r>
          <m:t>=</m:t>
        </m:r>
        <m:sSub>
          <m:e>
            <m:r>
              <m:t>C</m:t>
            </m:r>
          </m:e>
          <m:sub>
            <m:r>
              <m:t>Q2,d</m:t>
            </m:r>
          </m:sub>
        </m:sSub>
        <m:r>
          <m:t>−</m:t>
        </m:r>
        <m:sSub>
          <m:e>
            <m:r>
              <m:t>C</m:t>
            </m:r>
          </m:e>
          <m:sub>
            <m:r>
              <m:t>S1,d</m:t>
            </m:r>
          </m:sub>
        </m:sSub>
      </m:oMath>
      <w:r>
        <w:rPr>
          <w:rFonts w:ascii="宋体" w:hAnsi="宋体" w:eastAsia="宋体"/>
          <w:sz w:val="21"/>
        </w:rPr>
        <w:t>。为保留相邻日期的序列相关性，采用 7 日循环移动块自助法（10000 次重采样）估计均值与交付期总差的区间。相对 Q3 内部 S0，日均节省为 1861.63 元，交付期总节省 62.18 万元，95% 区间 42.49 万—87.78 万元；相对 Q2，日均节省为 1698.47 元，总节省 56.73 万元，95% 区间 37.39 万—79.11 万元。两种口径的区间下限均为正，表明总体改善在当前交付期与块长设定下较稳定。</w:t>
      </w:r>
    </w:p>
    <w:p>
      <w:pPr/>
      <w:r>
        <w:rPr>
          <w:rFonts w:ascii="宋体" w:hAnsi="宋体" w:eastAsia="宋体"/>
          <w:sz w:val="21"/>
        </w:rPr>
        <w:t>分季节看，相对内部 S0 的节省依次为冬季 9.97 万、春季 16.79 万、夏季 24.80 万、秋季 10.62 万元；相对 Q2 分别为 11.28 万、12.71 万、23.02 万、9.72 万元，四季合计与全年差额一致。以实际日净用能的 95% 分位数 87196.12 kWh 为阈值定义 17 个极端日，S1 相对内部 S0 与 Q2 分别节省 1.55 万和 2.28 万元，但极端日逐日胜率仅为 64.7% 和 70.6%。因此可说交付期总体改善较稳定，不能说每个普通日或极端日都占优。</w:t>
      </w:r>
    </w:p>
    <w:p>
      <w:pPr/>
      <w:r>
        <w:rPr>
          <w:rFonts w:ascii="Times New Roman" w:eastAsia="宋体"/>
          <w:sz w:val="22"/>
        </w:rPr>
        <w:t>图 25 将上述统计结果可视化：上面板给出总节省及 7 日循环移动块自助 95% 区间，下图分别汇总四季的节省。蓝色与灰色始终对应 Q3 内部 S0 和 Q2 两种比较基线。四季天数不同，柱高表示期间总量；区间支持同期总体改善，不表示每日均占优，也不替代独立样本外验证。</w:t>
      </w:r>
    </w:p>
    <w:p>
      <w:pPr>
        <w:keepNext w:val="1"/>
        <w:ind w:firstLine="0"/>
        <w:jc w:val="center"/>
      </w:pPr>
      <w:r>
        <w:drawing>
          <wp:inline xmlns:a="http://schemas.openxmlformats.org/drawingml/2006/main" xmlns:pic="http://schemas.openxmlformats.org/drawingml/2006/picture">
            <wp:extent cx="5400000" cy="3289688"/>
            <wp:docPr id="26" name="Picture 1" descr="总收益区间与分季节收益不等于逐日占优"/>
            <wp:cNvGraphicFramePr>
              <a:graphicFrameLocks noChangeAspect="1"/>
            </wp:cNvGraphicFramePr>
            <a:graphic>
              <a:graphicData uri="http://schemas.openxmlformats.org/drawingml/2006/picture">
                <pic:pic>
                  <pic:nvPicPr>
                    <pic:cNvPr id="0" name="fig_roadmap.png"/>
                    <pic:cNvPicPr/>
                  </pic:nvPicPr>
                  <pic:blipFill>
                    <a:blip r:embed="rIdRefresh25"/>
                    <a:stretch>
                      <a:fillRect/>
                    </a:stretch>
                  </pic:blipFill>
                  <pic:spPr>
                    <a:xfrm>
                      <a:off x="0" y="0"/>
                      <a:ext cx="5400000" cy="3289688"/>
                    </a:xfrm>
                    <a:prstGeom prst="rect"/>
                  </pic:spPr>
                </pic:pic>
              </a:graphicData>
            </a:graphic>
          </wp:inline>
        </w:drawing>
      </w:r>
    </w:p>
    <w:p>
      <w:pPr>
        <w:pStyle w:val="Caption"/>
        <w:spacing w:after="100"/>
        <w:ind w:firstLine="0"/>
        <w:jc w:val="center"/>
      </w:pPr>
      <w:r>
        <w:rPr>
          <w:rFonts w:ascii="Times New Roman" w:eastAsia="宋体"/>
          <w:sz w:val="20"/>
        </w:rPr>
        <w:t>图 25 滚动策略收益区间与季节分解</w:t>
      </w:r>
    </w:p>
    <w:p>
      <w:pPr>
        <w:pStyle w:val="Heading2"/>
        <w:ind w:firstLine="0"/>
      </w:pPr>
      <w:r>
        <w:rPr>
          <w:rFonts w:ascii="黑体" w:hAnsi="黑体" w:eastAsia="黑体"/>
          <w:sz w:val="26"/>
        </w:rPr>
        <w:t>9.3 求解与校验范围</w:t>
      </w:r>
    </w:p>
    <w:p>
      <w:pPr/>
      <w:r>
        <w:rPr>
          <w:rFonts w:ascii="宋体" w:hAnsi="宋体" w:eastAsia="宋体"/>
          <w:sz w:val="21"/>
        </w:rPr>
        <w:t>为降低求解与回算共用中间量带来的错误风险，结果导出后由约束审计脚本重新读取逐时段结果，其模块结构如图 26。</w:t>
      </w:r>
    </w:p>
    <w:p>
      <w:pPr>
        <w:keepNext w:val="1"/>
        <w:ind w:firstLine="0"/>
        <w:jc w:val="center"/>
      </w:pPr>
      <w:r>
        <w:drawing>
          <wp:inline xmlns:a="http://schemas.openxmlformats.org/drawingml/2006/main" xmlns:pic="http://schemas.openxmlformats.org/drawingml/2006/picture">
            <wp:extent cx="5400000" cy="2190000"/>
            <wp:docPr id="24" name="Picture 24" descr="模块化实现使四问共享同一组参数和约束口径"/>
            <wp:cNvGraphicFramePr>
              <a:graphicFrameLocks noChangeAspect="1"/>
            </wp:cNvGraphicFramePr>
            <a:graphic>
              <a:graphicData uri="http://schemas.openxmlformats.org/drawingml/2006/picture">
                <pic:pic>
                  <pic:nvPicPr>
                    <pic:cNvPr id="0" name="fig_arch_solver.png"/>
                    <pic:cNvPicPr/>
                  </pic:nvPicPr>
                  <pic:blipFill>
                    <a:blip r:embed="rId34"/>
                    <a:stretch>
                      <a:fillRect/>
                    </a:stretch>
                  </pic:blipFill>
                  <pic:spPr>
                    <a:xfrm>
                      <a:off x="0" y="0"/>
                      <a:ext cx="5400000" cy="2190000"/>
                    </a:xfrm>
                    <a:prstGeom prst="rect"/>
                  </pic:spPr>
                </pic:pic>
              </a:graphicData>
            </a:graphic>
          </wp:inline>
        </w:drawing>
      </w:r>
    </w:p>
    <w:p>
      <w:pPr>
        <w:pStyle w:val="Caption"/>
        <w:spacing w:after="100"/>
        <w:ind w:firstLine="0"/>
        <w:jc w:val="center"/>
      </w:pPr>
      <w:r>
        <w:rPr>
          <w:rFonts w:ascii="宋体" w:hAnsi="宋体" w:eastAsia="宋体"/>
          <w:sz w:val="18"/>
        </w:rPr>
        <w:t>图 26 求解导出与交叉回算流程</w:t>
      </w:r>
    </w:p>
    <w:p>
      <w:pPr/>
      <w:r>
        <w:rPr>
          <w:rFonts w:ascii="宋体" w:hAnsi="宋体" w:eastAsia="宋体"/>
          <w:sz w:val="21"/>
        </w:rPr>
        <w:t xml:space="preserve">图 26 显示，参数模块集中定义储能容量、功率、效率与时间步长；数据摄入检查行数和日期；求解层装配线性约束；回算层从导出的 Excel 逐时段表复算供需平衡等式、SOC 递推及上下界、跨日连续、年初一次性初值、年末 SOC、充放电功率、弃光非负、单位换算和 </w:t>
      </w:r>
      <m:oMath>
        <m:sSub>
          <m:e>
            <m:r>
              <m:t>max</m:t>
            </m:r>
          </m:e>
          <m:sub>
            <m:r>
              <m:t>t</m:t>
            </m:r>
          </m:sub>
        </m:sSub>
        <m:r>
          <m:t>min(</m:t>
        </m:r>
        <m:sSub>
          <m:e>
            <m:r>
              <m:t>c</m:t>
            </m:r>
          </m:e>
          <m:sub>
            <m:r>
              <m:t>t</m:t>
            </m:r>
          </m:sub>
        </m:sSub>
        <m:r>
          <m:t>,</m:t>
        </m:r>
        <m:sSub>
          <m:e>
            <m:r>
              <m:t>s</m:t>
            </m:r>
          </m:e>
          <m:sub>
            <m:r>
              <m:t>t</m:t>
            </m:r>
          </m:sub>
        </m:sSub>
        <m:r>
          <m:t>)</m:t>
        </m:r>
      </m:oMath>
      <w:r>
        <w:rPr>
          <w:rFonts w:ascii="宋体" w:hAnsi="宋体" w:eastAsia="宋体"/>
          <w:sz w:val="21"/>
        </w:rPr>
        <w:t xml:space="preserve">。计划费用也按导出量重新计算。所列逐时段约束检查均通过，问题一费用回算为 35126.95 元，问题二计划购电费回算为 13012636.55 元。信息边界另由历史索引 </w:t>
      </w:r>
      <m:oMath>
        <m:r>
          <m:t>j&lt;d</m:t>
        </m:r>
      </m:oMath>
      <w:r>
        <w:rPr>
          <w:rFonts w:ascii="宋体" w:hAnsi="宋体" w:eastAsia="宋体"/>
          <w:sz w:val="21"/>
        </w:rPr>
        <w:t xml:space="preserve"> 与预测构造记录检查；紧急购电非零仅是运行结果，未被用作不存在数据泄漏的充分证明。由于审计脚本与求解代码仍共享参数定义和部分业务解释，该核验属于交叉回算而非完全独立验证。</w:t>
      </w:r>
    </w:p>
    <w:p>
      <w:pPr>
        <w:pStyle w:val="Heading2"/>
        <w:ind w:firstLine="0"/>
      </w:pPr>
      <w:r>
        <w:rPr>
          <w:rFonts w:ascii="黑体" w:hAnsi="黑体" w:eastAsia="黑体"/>
          <w:sz w:val="26"/>
        </w:rPr>
        <w:t>9.4 模型的优点与局限</w:t>
      </w:r>
    </w:p>
    <w:p>
      <w:pPr/>
      <w:r>
        <w:rPr>
          <w:rFonts w:ascii="宋体" w:hAnsi="宋体" w:eastAsia="宋体"/>
          <w:sz w:val="21"/>
        </w:rPr>
        <w:t>本文以同一线性储能内核支撑四问，单次线性规划子问题可由 HiGHS 求得全局最优解，并对题面中的效率、费用计法和电价可知性给出可核对的设定。仍有以下具体局限：第一，Q2 的场景近似日前计划与因果实时执行规则尚未在同一个完整多阶段优化模型中联合求解，二者衔接可能损失最优性；第二，Q3 使用点预测滚动优化而非随机 MPC，不表达滚动阶段的完整预测分布；第三，6:00、12:00、18:00 预报同时进入滚动流程，不同发布时间的边际价值尚未被完全单独识别；第四，调整费 R-a 与 R-b 对基价及下调违约的解释不同，结果受题意口径影响；第五，</w:t>
      </w:r>
      <m:oMath>
        <m:r>
          <m:t>W</m:t>
        </m:r>
      </m:oMath>
      <w:r>
        <w:rPr>
          <w:rFonts w:ascii="宋体" w:hAnsi="宋体" w:eastAsia="宋体"/>
          <w:sz w:val="21"/>
        </w:rPr>
        <w:t xml:space="preserve">、场景设置和备用裕度 </w:t>
      </w:r>
      <m:oMath>
        <m:r>
          <m:t>m</m:t>
        </m:r>
      </m:oMath>
      <w:r>
        <w:rPr>
          <w:rFonts w:ascii="宋体" w:hAnsi="宋体" w:eastAsia="宋体"/>
          <w:sz w:val="21"/>
        </w:rPr>
        <w:t xml:space="preserve"> 存在使用同一交付期选择与评价的情况，结果可能偏乐观，参数敏感度不能替代严格的独立样本外验证；第六，经验残差场景对罕见极端事件的覆盖有限；第七，储能退化成本尚未纳入，循环量和套利收益可能被高估</w:t>
      </w:r>
      <w:r>
        <w:rPr>
          <w:rFonts w:ascii="宋体" w:hAnsi="宋体" w:eastAsia="宋体"/>
          <w:sz w:val="21"/>
          <w:vertAlign w:val="superscript"/>
        </w:rPr>
        <w:t>[11]</w:t>
      </w:r>
      <w:r>
        <w:rPr>
          <w:rFonts w:ascii="宋体" w:hAnsi="宋体" w:eastAsia="宋体"/>
          <w:sz w:val="21"/>
        </w:rPr>
        <w:t>；第八，固定与波动电价比较中均值、价差与波动结构同时改变，对单一因素的因果解释需谨慎。</w:t>
      </w:r>
    </w:p>
    <w:p>
      <w:pPr>
        <w:pStyle w:val="Heading1"/>
        <w:ind w:firstLine="0"/>
      </w:pPr>
      <w:r>
        <w:rPr>
          <w:rFonts w:ascii="黑体" w:hAnsi="黑体" w:eastAsia="黑体"/>
          <w:sz w:val="30"/>
        </w:rPr>
        <w:t>十、结论</w:t>
      </w:r>
    </w:p>
    <w:p>
      <w:pPr/>
      <w:r>
        <w:rPr>
          <w:rFonts w:ascii="宋体" w:hAnsi="宋体" w:eastAsia="宋体"/>
          <w:sz w:val="21"/>
        </w:rPr>
        <w:t>本文以一套共用的储能—购电线性规划内核处理四个递进问题。问题一在已知数据下把典型日购电费由 48052.05 元降至 35126.95 元，节省 26.90%，并通过显式弃光变量与末期 SOC 约束保持能量账目闭合。问题二采用“场景近似日前计划器 + 因果实时执行策略”，交付期总费用为 14104438.86 元；</w:t>
      </w:r>
      <m:oMath>
        <m:r>
          <m:t>m=0.03</m:t>
        </m:r>
      </m:oMath>
      <w:r>
        <w:rPr>
          <w:rFonts w:ascii="宋体" w:hAnsi="宋体" w:eastAsia="宋体"/>
          <w:sz w:val="21"/>
        </w:rPr>
        <w:t xml:space="preserve"> 在点预测裕度基线的当前候选网格取得最低目标值，与较高计划分位的理论方向一致，但不构成对 0.8 临界分位的精确验证。问题三的点预测滚动方案总费用为 13537151.33 元，相对 Q3 内部 S0 节省 62.18 万元，相对 Q2 方案节省 56.73 万元；两种差额的 7 日块自助 95% 区间分别为 42.49 万—87.78 万元和 37.39 万—79.11 万元，支持交付期总体改善，但不表示逐日均优。问题四的波动电价下，问题二结构与问题三滚动结构费用分别约上升 4.70% 和 4.72%，已知当日电价相对点预测设定减少费用约 0.50%。这些数值建立在当前交付期、参数网格、情景覆盖与费用解释上，仍受计划—执行衔接、独立测试集缺失、极端场景覆盖和储能退化未建模等限制。</w:t>
      </w:r>
    </w:p>
    <w:p>
      <w:pPr>
        <w:pStyle w:val="Heading1"/>
        <w:ind w:firstLine="0"/>
      </w:pPr>
      <w:r>
        <w:rPr>
          <w:rFonts w:ascii="黑体" w:hAnsi="黑体" w:eastAsia="黑体"/>
          <w:sz w:val="30"/>
        </w:rPr>
        <w:t>AI 工具使用声明</w:t>
      </w:r>
    </w:p>
    <w:p>
      <w:pPr/>
      <w:r>
        <w:rPr>
          <w:rFonts w:ascii="宋体" w:hAnsi="宋体" w:eastAsia="宋体"/>
          <w:sz w:val="21"/>
        </w:rPr>
        <w:t>本参赛队在竞赛过程中使用了AI工具，主要用于代码调试、参考文献格式整理、术语翻译与校对、排版检查、语言润色，详细使用情况见支撑材料。</w:t>
      </w:r>
    </w:p>
    <w:p>
      <w:pPr>
        <w:pStyle w:val="Heading1"/>
        <w:ind w:firstLine="0"/>
      </w:pPr>
      <w:r>
        <w:rPr>
          <w:rFonts w:ascii="黑体" w:hAnsi="黑体" w:eastAsia="黑体"/>
          <w:sz w:val="30"/>
        </w:rPr>
        <w:t>参考文献</w:t>
      </w:r>
    </w:p>
    <w:p>
      <w:pPr/>
      <w:r>
        <w:rPr>
          <w:rFonts w:ascii="宋体" w:hAnsi="宋体" w:eastAsia="宋体"/>
          <w:sz w:val="21"/>
        </w:rPr>
        <w:t>[1] LASSETER R H. MicroGrids[C]//2002 IEEE Power Engineering Society Winter Meeting. New York: IEEE, 2002, 1: 305-308.</w:t>
      </w:r>
    </w:p>
    <w:p>
      <w:pPr/>
      <w:r>
        <w:rPr>
          <w:rFonts w:ascii="宋体" w:hAnsi="宋体" w:eastAsia="宋体"/>
          <w:sz w:val="21"/>
        </w:rPr>
        <w:t>[2] HATZIARGYRIOU N, ASANO H, IRAVANI R, et al. Microgrids[J]. IEEE Power and Energy Magazine, 2007, 5(4): 78-94.</w:t>
      </w:r>
    </w:p>
    <w:p>
      <w:pPr/>
      <w:r>
        <w:rPr>
          <w:rFonts w:ascii="宋体" w:hAnsi="宋体" w:eastAsia="宋体"/>
          <w:sz w:val="21"/>
        </w:rPr>
        <w:t>[3] PALENSKY P, DIETRICH D. Demand side management: demand response, intelligent energy systems, and smart loads[J]. IEEE Transactions on Industrial Informatics, 2011, 7(3): 381-388.</w:t>
      </w:r>
    </w:p>
    <w:p>
      <w:pPr/>
      <w:r>
        <w:rPr>
          <w:rFonts w:ascii="宋体" w:hAnsi="宋体" w:eastAsia="宋体"/>
          <w:sz w:val="21"/>
        </w:rPr>
        <w:t>[4] HESSE H C, KUMTEPELI V, SCHIMPE M, et al. Ageing and efficiency aware battery dispatch for arbitrage markets using mixed integer linear programming[J]. Energies, 2019, 12(6): 999.</w:t>
      </w:r>
    </w:p>
    <w:p>
      <w:pPr/>
      <w:r>
        <w:rPr>
          <w:rFonts w:ascii="宋体" w:hAnsi="宋体" w:eastAsia="宋体"/>
          <w:sz w:val="21"/>
        </w:rPr>
        <w:t>[5] VIRTANEN P, GOMMERS R, OLIPHANT T E, et al. SciPy 1.0: fundamental algorithms for scientific computing in Python[J]. Nature Methods, 2020, 17(3): 261-272.</w:t>
      </w:r>
    </w:p>
    <w:p>
      <w:pPr/>
      <w:r>
        <w:rPr>
          <w:rFonts w:ascii="宋体" w:hAnsi="宋体" w:eastAsia="宋体"/>
          <w:sz w:val="21"/>
        </w:rPr>
        <w:t>[6] HUANGFU Q, HALL J A J. Parallelizing the dual revised simplex method[J]. Mathematical Programming Computation, 2018, 10(1): 119-142.</w:t>
      </w:r>
    </w:p>
    <w:p>
      <w:pPr/>
      <w:r>
        <w:rPr>
          <w:rFonts w:ascii="宋体" w:hAnsi="宋体" w:eastAsia="宋体"/>
          <w:sz w:val="21"/>
        </w:rPr>
        <w:t>[7] BIRGE J R, LOUVEAUX F. Introduction to stochastic programming[M]. 2nd ed. New York: Springer, 2011.</w:t>
      </w:r>
    </w:p>
    <w:p>
      <w:pPr/>
      <w:r>
        <w:rPr>
          <w:rFonts w:ascii="宋体" w:hAnsi="宋体" w:eastAsia="宋体"/>
          <w:sz w:val="21"/>
        </w:rPr>
        <w:t>[8] LI Z, ZANG C, ZENG P, et al. Combined two-stage stochastic programming and receding horizon control strategy for microgrid energy management considering uncertainty[J]. Energies, 2016, 9(7): 499.</w:t>
      </w:r>
    </w:p>
    <w:p>
      <w:pPr/>
      <w:r>
        <w:rPr>
          <w:rFonts w:ascii="宋体" w:hAnsi="宋体" w:eastAsia="宋体"/>
          <w:sz w:val="21"/>
        </w:rPr>
        <w:t>[9] ANTONANZAS J, OSORIO N, ESCOBAR R, et al. Review of photovoltaic power forecasting[J]. Solar Energy, 2016, 136: 78-111.</w:t>
      </w:r>
    </w:p>
    <w:p>
      <w:pPr/>
      <w:r>
        <w:rPr>
          <w:rFonts w:ascii="宋体" w:hAnsi="宋体" w:eastAsia="宋体"/>
          <w:sz w:val="21"/>
        </w:rPr>
        <w:t>[10] PARISIO A, RIKOS E, GLIELMO L. A model predictive control approach to microgrid operation optimization[J]. IEEE Transactions on Control Systems Technology, 2014, 22(5): 1813-1827.</w:t>
      </w:r>
    </w:p>
    <w:p>
      <w:pPr/>
      <w:r>
        <w:rPr>
          <w:rFonts w:ascii="宋体" w:hAnsi="宋体" w:eastAsia="宋体"/>
          <w:sz w:val="21"/>
        </w:rPr>
        <w:t>[11] CORENGIA M, TORRES A I. Effect of tariff policy and battery degradation on optimal energy storage[J]. Processes, 2018, 6(10): 204.</w:t>
      </w:r>
    </w:p>
    <w:p>
      <w:pPr>
        <w:pStyle w:val="Heading1"/>
        <w:ind w:firstLine="0"/>
      </w:pPr>
      <w:r>
        <w:rPr>
          <w:rFonts w:ascii="黑体" w:hAnsi="黑体" w:eastAsia="黑体"/>
          <w:sz w:val="30"/>
        </w:rPr>
        <w:t>附录</w:t>
      </w:r>
    </w:p>
    <w:p>
      <w:pPr/>
      <w:r>
        <w:rPr>
          <w:rFonts w:ascii="黑体" w:hAnsi="黑体" w:eastAsia="黑体"/>
          <w:b/>
          <w:sz w:val="21"/>
        </w:rPr>
        <w:t>附录 A　支撑材料清单</w:t>
      </w:r>
    </w:p>
    <w:p>
      <w:pPr/>
      <w:r>
        <w:rPr>
          <w:rFonts w:ascii="宋体" w:hAnsi="宋体" w:eastAsia="宋体"/>
          <w:sz w:val="21"/>
        </w:rPr>
        <w:t>支撑材料包含：全流程求解与绘图的 Python 源代码；四个子问题按交付模板导出的结果表；本文全部插图的可复算数据文件；以及 AI 工具使用详情文件。</w:t>
      </w:r>
    </w:p>
    <w:p>
      <w:pPr/>
      <w:r>
        <w:rPr>
          <w:rFonts w:ascii="黑体" w:hAnsi="黑体" w:eastAsia="黑体"/>
          <w:b/>
          <w:sz w:val="21"/>
        </w:rPr>
        <w:t>附录 B　求解环境与主要参数</w:t>
      </w:r>
    </w:p>
    <w:p>
      <w:pPr/>
      <w:r>
        <w:rPr>
          <w:rFonts w:ascii="宋体" w:hAnsi="宋体" w:eastAsia="宋体"/>
          <w:sz w:val="21"/>
        </w:rPr>
        <w:t xml:space="preserve">求解基于 Python 科学计算环境，线性规划由 SciPy 的 </w:t>
      </w:r>
      <w:r>
        <w:rPr>
          <w:rFonts w:ascii="Consolas" w:hAnsi="Consolas" w:eastAsia="等线"/>
          <w:color w:val="505050"/>
          <w:sz w:val="21"/>
        </w:rPr>
        <w:t>linprog</w:t>
      </w:r>
      <w:r>
        <w:rPr>
          <w:rFonts w:ascii="宋体" w:hAnsi="宋体" w:eastAsia="宋体"/>
          <w:sz w:val="21"/>
        </w:rPr>
        <w:t xml:space="preserve"> 接口调用 HiGHS 求解器完成。核心参数取值为：储能额定容量 12000 kWh，运行区间 </w:t>
      </w:r>
      <m:oMath>
        <m:d>
          <m:dPr>
            <m:begChr m:val="["/>
            <m:sepChr m:val=","/>
            <m:endChr m:val="]"/>
          </m:dPr>
          <m:e>
            <m:r>
              <m:t>1200</m:t>
            </m:r>
          </m:e>
          <m:e>
            <m:r>
              <m:t>10800</m:t>
            </m:r>
          </m:e>
        </m:d>
      </m:oMath>
      <w:r>
        <w:rPr>
          <w:rFonts w:ascii="宋体" w:hAnsi="宋体" w:eastAsia="宋体"/>
          <w:sz w:val="21"/>
        </w:rPr>
        <w:t xml:space="preserve"> kWh，最大充放电功率 5000 kW，初始储电量 6000 kWh，充、放电效率各 0.9，紧急购电电价倍数 5，上调超出倍数 1.5、下调违约倍数 0.5，负载预测窗口 4 天，随机情景数 8，交付区间 2025-02-01 至 2025-12-31 共 334 天。</w:t>
      </w:r>
    </w:p>
    <w:sectPr w:rsidR="00FC693F" w:rsidRPr="0006063C" w:rsidSect="00034616">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olor w:val="646464"/>
        <w:sz w:val="16"/>
      </w:rPr>
      <w:t>2026 CUMCM C 题  ·  微网电力调控策略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黑体" w:hAnsi="黑体"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Refresh2" Type="http://schemas.openxmlformats.org/officeDocument/2006/relationships/image" Target="media/fig_energy_flow.png"/><Relationship Id="rIdRefresh25" Type="http://schemas.openxmlformats.org/officeDocument/2006/relationships/image" Target="media/fig_rolling_benefit_uncertaint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基于共享储能购电线性规划内核的微网多情形电力调控策略</dc:title>
  <dc:subject>2026 CUMCM C题修订论文</dc:subject>
  <dc:creator>参赛队</dc:creator>
  <cp:keywords/>
  <dc:description>依据修订目录 paper/main.md 自动构建；所有图表来自修订目录。</dc:description>
  <cp:lastModifiedBy/>
  <cp:revision>1</cp:revision>
  <dcterms:created xsi:type="dcterms:W3CDTF">2013-12-23T23:15:00Z</dcterms:created>
  <dcterms:modified xsi:type="dcterms:W3CDTF">2013-12-23T23:15:00Z</dcterms:modified>
  <cp:category/>
</cp:coreProperties>
</file>