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aps/>
          <w:color w:val="A9762C"/>
          <w:spacing w:val="20"/>
          <w:sz w:val="30"/>
          <w:szCs w:val="30"/>
        </w:rPr>
        <w:t xml:space="preserve">DILGR8RSP</w:t>
      </w:r>
    </w:p>
    <w:p>
      <w:pPr>
        <w:spacing w:after="300" w:before="200"/>
        <w:jc w:val="center"/>
      </w:pPr>
      <w:r>
        <w:rPr>
          <w:b/>
          <w:bCs/>
          <w:color w:val="0B3D78"/>
          <w:sz w:val="68"/>
          <w:szCs w:val="68"/>
        </w:rPr>
        <w:t xml:space="preserve">User Manual</w:t>
      </w:r>
    </w:p>
    <w:p>
      <w:pPr>
        <w:spacing w:after="100"/>
        <w:jc w:val="center"/>
      </w:pPr>
      <w:r>
        <w:rPr>
          <w:color w:val="5C6577"/>
          <w:sz w:val="24"/>
          <w:szCs w:val="24"/>
        </w:rPr>
        <w:t xml:space="preserve">Recruitment, Selection, and Placement System</w:t>
      </w:r>
    </w:p>
    <w:p>
      <w:pPr>
        <w:spacing w:after="800" w:before="500"/>
        <w:jc w:val="center"/>
      </w:pPr>
      <w:r>
        <w:rPr>
          <w:color w:val="1B2436"/>
          <w:sz w:val="22"/>
          <w:szCs w:val="22"/>
        </w:rPr>
        <w:t xml:space="preserve">A walkthrough of the Recruitment, Selection, and Placement system for the three people who use it: the applicant filling out a profile, the administrator running the pipeline, and the panel member scoring an interview.</w:t>
      </w:r>
    </w:p>
    <w:p>
      <w:r>
        <w:br w:type="page"/>
      </w:r>
    </w:p>
    <w:p>
      <w:pPr>
        <w:pStyle w:val="Heading1"/>
        <w:spacing w:after="200"/>
      </w:pPr>
      <w:r>
        <w:t xml:space="preserve">About this manual</w:t>
      </w:r>
    </w:p>
    <w:p>
      <w:pPr>
        <w:spacing w:after="160" w:line="300"/>
      </w:pPr>
      <w:r>
        <w:rPr>
          <w:color w:val="1B2436"/>
          <w:sz w:val="24"/>
          <w:szCs w:val="24"/>
        </w:rPr>
        <w:t xml:space="preserve">DILGR8RSP runs the DILG's hiring pipeline end to end — from a candidate's first login through sifting, examination, panel interview, compliance, and oath‑taking. Three roles share the system, and each sees only what their part of the process needs.</w:t>
      </w:r>
    </w:p>
    <w:p>
      <w:pPr>
        <w:spacing w:after="160" w:line="300"/>
      </w:pPr>
      <w:r>
        <w:rPr>
          <w:color w:val="1B2436"/>
          <w:sz w:val="22"/>
          <w:szCs w:val="22"/>
        </w:rPr>
        <w:t xml:space="preserve">This manual is organized the same way: one part per role. If you only need one, use the contents on the left to jump straight there — each part stands on its own.</w:t>
      </w:r>
    </w:p>
    <w:p>
      <w:pPr>
        <w:spacing w:after="120" w:before="200"/>
      </w:pPr>
      <w:r>
        <w:rPr>
          <w:b/>
          <w:bCs/>
          <w:color w:val="0B3D78"/>
          <w:sz w:val="24"/>
          <w:szCs w:val="24"/>
        </w:rPr>
        <w:t xml:space="preserve">Who this manual covers</w:t>
      </w:r>
    </w:p>
    <w:p>
      <w:pPr>
        <w:spacing w:after="140"/>
      </w:pPr>
      <w:r>
        <w:rPr>
          <w:b/>
          <w:bCs/>
          <w:color w:val="0B3D78"/>
          <w:sz w:val="22"/>
          <w:szCs w:val="22"/>
        </w:rPr>
        <w:t xml:space="preserve">Applicant: </w:t>
      </w:r>
      <w:r>
        <w:rPr>
          <w:color w:val="1B2436"/>
          <w:sz w:val="22"/>
          <w:szCs w:val="22"/>
        </w:rPr>
        <w:t xml:space="preserve">Registers, builds a profile, applies to postings, and tracks a single application through every stage.</w:t>
      </w:r>
    </w:p>
    <w:p>
      <w:pPr>
        <w:spacing w:after="140"/>
      </w:pPr>
      <w:r>
        <w:rPr>
          <w:b/>
          <w:bCs/>
          <w:color w:val="0B3D78"/>
          <w:sz w:val="22"/>
          <w:szCs w:val="22"/>
        </w:rPr>
        <w:t xml:space="preserve">Admin: </w:t>
      </w:r>
      <w:r>
        <w:rPr>
          <w:color w:val="1B2436"/>
          <w:sz w:val="22"/>
          <w:szCs w:val="22"/>
        </w:rPr>
        <w:t xml:space="preserve">Posts jobs, screens candidates, runs the exam and interview pipeline, and manages every account in the system.</w:t>
      </w:r>
    </w:p>
    <w:p>
      <w:pPr>
        <w:spacing w:after="140"/>
      </w:pPr>
      <w:r>
        <w:rPr>
          <w:b/>
          <w:bCs/>
          <w:color w:val="0B3D78"/>
          <w:sz w:val="22"/>
          <w:szCs w:val="22"/>
        </w:rPr>
        <w:t xml:space="preserve">Panel: </w:t>
      </w:r>
      <w:r>
        <w:rPr>
          <w:color w:val="1B2436"/>
          <w:sz w:val="22"/>
          <w:szCs w:val="22"/>
        </w:rPr>
        <w:t xml:space="preserve">Scores assigned applicants against the interview rubric and reviews their Personal Data Sheet.</w:t>
      </w:r>
    </w:p>
    <w:p>
      <w:r>
        <w:br w:type="page"/>
      </w:r>
    </w:p>
    <w:p>
      <w:pPr>
        <w:shd w:fill="0B3D78" w:val="clear"/>
        <w:spacing w:after="300" w:before="100"/>
      </w:pPr>
      <w:r>
        <w:rPr>
          <w:b/>
          <w:bCs/>
          <w:color w:val="FFFFFF"/>
          <w:sz w:val="26"/>
          <w:szCs w:val="26"/>
        </w:rPr>
        <w:t xml:space="preserve">PART I   FOR APPLICANTS</w:t>
      </w:r>
    </w:p>
    <w:p>
      <w:pPr>
        <w:spacing w:after="160" w:line="300"/>
      </w:pPr>
      <w:r>
        <w:rPr>
          <w:i/>
          <w:iCs/>
          <w:color w:val="5C6577"/>
          <w:sz w:val="22"/>
          <w:szCs w:val="22"/>
        </w:rPr>
        <w:t xml:space="preserve">From your first visit to the site through submitting an application and watching it move through the pipeline.</w:t>
      </w:r>
    </w:p>
    <w:p>
      <w:pPr>
        <w:pStyle w:val="Heading2"/>
        <w:spacing w:after="100" w:before="320"/>
      </w:pPr>
      <w:r>
        <w:rPr>
          <w:color w:val="0B3D78"/>
        </w:rPr>
        <w:t xml:space="preserve">Step 1 — Create an account</w:t>
      </w:r>
    </w:p>
    <w:p>
      <w:pPr>
        <w:spacing w:after="160" w:line="300"/>
      </w:pPr>
      <w:r>
        <w:rPr>
          <w:color w:val="1B2436"/>
          <w:sz w:val="22"/>
          <w:szCs w:val="22"/>
        </w:rPr>
        <w:t xml:space="preserve">Open the system and click Register on the login screen. Registration is a single guided flow of five steps — account, demographic profile, learning &amp; development, awards, and documents — and you can only reach the job listings once it's complete.</w:t>
      </w:r>
    </w:p>
    <w:p>
      <w:pPr>
        <w:spacing w:after="160" w:line="300"/>
      </w:pPr>
      <w:r>
        <w:rPr>
          <w:color w:val="1B2436"/>
          <w:sz w:val="22"/>
          <w:szCs w:val="22"/>
        </w:rPr>
        <w:t xml:space="preserve">Enter your email and a password of at least 8 characters, then continue. This creates your account immediately; the remaining steps build out your applicant profile.</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438400"/>
                    </a:xfrm>
                    <a:prstGeom prst="rect">
                      <a:avLst/>
                    </a:prstGeom>
                  </pic:spPr>
                </pic:pic>
              </a:graphicData>
            </a:graphic>
          </wp:inline>
        </w:drawing>
      </w:r>
    </w:p>
    <w:p>
      <w:pPr>
        <w:spacing w:after="260"/>
        <w:jc w:val="center"/>
      </w:pPr>
      <w:r>
        <w:rPr>
          <w:i/>
          <w:iCs/>
          <w:color w:val="5C6577"/>
          <w:sz w:val="18"/>
          <w:szCs w:val="18"/>
        </w:rPr>
        <w:t xml:space="preserve">Fig. 1 — Login screen — existing applicants sign in here; new applicants follow the Register link</w:t>
      </w:r>
    </w:p>
    <w:p>
      <w:pPr>
        <w:pStyle w:val="Heading2"/>
        <w:spacing w:after="100" w:before="320"/>
      </w:pPr>
      <w:r>
        <w:rPr>
          <w:color w:val="0B3D78"/>
        </w:rPr>
        <w:t xml:space="preserve">Step 2 — Fill in your Demographic Profile</w:t>
      </w:r>
    </w:p>
    <w:p>
      <w:pPr>
        <w:spacing w:after="160" w:line="300"/>
      </w:pPr>
      <w:r>
        <w:rPr>
          <w:color w:val="1B2436"/>
          <w:sz w:val="22"/>
          <w:szCs w:val="22"/>
        </w:rPr>
        <w:t xml:space="preserve">Once your account exists, the wizard moves to your profile. Fields marked with a red asterisk — first name, last name, date of birth, contact number, address, highest educational attainment, and total years of relevant work experience — are required before you can continue. The education and experience fields are also what a job posting's optional minimums (if the admin set any) are checked against later, during Sifting.</w:t>
      </w:r>
    </w:p>
    <w:p>
      <w:pPr>
        <w:spacing w:after="160" w:line="300"/>
      </w:pPr>
      <w:r>
        <w:rPr>
          <w:color w:val="1B2436"/>
          <w:sz w:val="22"/>
          <w:szCs w:val="22"/>
        </w:rPr>
        <w:t xml:space="preserve">If you hold a civil service eligibility, check &amp;ldquo;I have a civil service eligibility&amp;rdquo; to reveal the eligibility type field. Leaving it unchecked doesn't block you from registering — it just means your application is subject to manual validation by the administrator later, exactly as the on-screen notice explains.</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38400"/>
                    </a:xfrm>
                    <a:prstGeom prst="rect">
                      <a:avLst/>
                    </a:prstGeom>
                  </pic:spPr>
                </pic:pic>
              </a:graphicData>
            </a:graphic>
          </wp:inline>
        </w:drawing>
      </w:r>
    </w:p>
    <w:p>
      <w:pPr>
        <w:spacing w:after="260"/>
        <w:jc w:val="center"/>
      </w:pPr>
      <w:r>
        <w:rPr>
          <w:i/>
          <w:iCs/>
          <w:color w:val="5C6577"/>
          <w:sz w:val="18"/>
          <w:szCs w:val="18"/>
        </w:rPr>
        <w:t xml:space="preserve">Fig. 2 — Demographic Profile — required fields are marked with a red asterisk</w:t>
      </w:r>
    </w:p>
    <w:p>
      <w:pPr>
        <w:pStyle w:val="Heading2"/>
        <w:spacing w:after="100" w:before="320"/>
      </w:pPr>
      <w:r>
        <w:rPr>
          <w:color w:val="0B3D78"/>
        </w:rPr>
        <w:t xml:space="preserve">Step 3 — Add Learning &amp; Development records</w:t>
      </w:r>
    </w:p>
    <w:p>
      <w:pPr>
        <w:spacing w:after="160" w:line="300"/>
      </w:pPr>
      <w:r>
        <w:rPr>
          <w:color w:val="1B2436"/>
          <w:sz w:val="22"/>
          <w:szCs w:val="22"/>
        </w:rPr>
        <w:t xml:space="preserve">This step is optional — skip it entirely if you have no seminars or training to declare. For each entry you do add, you'll attach proof (a certificate of attendance, as PDF/JPEG/PNG) directly alongside it, since a claim without proof won't count toward your registration.</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38400"/>
                    </a:xfrm>
                    <a:prstGeom prst="rect">
                      <a:avLst/>
                    </a:prstGeom>
                  </pic:spPr>
                </pic:pic>
              </a:graphicData>
            </a:graphic>
          </wp:inline>
        </w:drawing>
      </w:r>
    </w:p>
    <w:p>
      <w:pPr>
        <w:spacing w:after="260"/>
        <w:jc w:val="center"/>
      </w:pPr>
      <w:r>
        <w:rPr>
          <w:i/>
          <w:iCs/>
          <w:color w:val="5C6577"/>
          <w:sz w:val="18"/>
          <w:szCs w:val="18"/>
        </w:rPr>
        <w:t xml:space="preserve">Fig. 3 — Learning &amp; Development — optional, one proof file per entry</w:t>
      </w:r>
    </w:p>
    <w:p>
      <w:pPr>
        <w:pStyle w:val="Heading2"/>
        <w:spacing w:after="100" w:before="320"/>
      </w:pPr>
      <w:r>
        <w:rPr>
          <w:color w:val="0B3D78"/>
        </w:rPr>
        <w:t xml:space="preserve">Step 4 — Add Awards or Commendations</w:t>
      </w:r>
    </w:p>
    <w:p>
      <w:pPr>
        <w:spacing w:after="160" w:line="300"/>
      </w:pPr>
      <w:r>
        <w:rPr>
          <w:color w:val="1B2436"/>
          <w:sz w:val="22"/>
          <w:szCs w:val="22"/>
        </w:rPr>
        <w:t xml:space="preserve">Also optional, and structured the same way as Learning &amp; Development: a title, the date awarded, the issuing body, and one proof file per award you list.</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38400"/>
                    </a:xfrm>
                    <a:prstGeom prst="rect">
                      <a:avLst/>
                    </a:prstGeom>
                  </pic:spPr>
                </pic:pic>
              </a:graphicData>
            </a:graphic>
          </wp:inline>
        </w:drawing>
      </w:r>
    </w:p>
    <w:p>
      <w:pPr>
        <w:spacing w:after="260"/>
        <w:jc w:val="center"/>
      </w:pPr>
      <w:r>
        <w:rPr>
          <w:i/>
          <w:iCs/>
          <w:color w:val="5C6577"/>
          <w:sz w:val="18"/>
          <w:szCs w:val="18"/>
        </w:rPr>
        <w:t xml:space="preserve">Fig. 4 — Awards / Commendations — also optional, same one-proof-per-entry rule</w:t>
      </w:r>
    </w:p>
    <w:p>
      <w:pPr>
        <w:pStyle w:val="Heading2"/>
        <w:spacing w:after="100" w:before="320"/>
      </w:pPr>
      <w:r>
        <w:rPr>
          <w:color w:val="0B3D78"/>
        </w:rPr>
        <w:t xml:space="preserve">Step 5 — Upload your documents</w:t>
      </w:r>
    </w:p>
    <w:p>
      <w:pPr>
        <w:spacing w:after="160" w:line="300"/>
      </w:pPr>
      <w:r>
        <w:rPr>
          <w:color w:val="1B2436"/>
          <w:sz w:val="22"/>
          <w:szCs w:val="22"/>
        </w:rPr>
        <w:t xml:space="preserve">The final step lists the full official checklist. Two are always required before you can finish registering:</w:t>
      </w:r>
    </w:p>
    <w:p>
      <w:pPr>
        <w:spacing w:after="160" w:line="300"/>
      </w:pPr>
      <w:r>
        <w:rPr>
          <w:color w:val="1B2436"/>
          <w:sz w:val="22"/>
          <w:szCs w:val="22"/>
        </w:rPr>
        <w:t xml:space="preserve">Everything else on the checklist — performance rating, certificate of eligibility, transcript, diploma, and so on — is optional or only required if it applies to you (an eligibility certificate, for instance, is only required if you checked the eligibility box in Step 2). Your Application Letter isn't uploaded here at all: since it's addressed to a specific vacancy, you attach it later, when you actually apply.</w:t>
      </w:r>
    </w:p>
    <w:p>
      <w:pPr>
        <w:spacing w:after="160" w:line="300"/>
      </w:pPr>
      <w:r>
        <w:rPr>
          <w:color w:val="1B2436"/>
          <w:sz w:val="22"/>
          <w:szCs w:val="22"/>
        </w:rPr>
        <w:t xml:space="preserve">Pick a document type, choose a file, and click Upload. Uploading a new file for a type you've already submitted replaces it — each type represents one current document, not a growing list.</w:t>
      </w:r>
    </w:p>
    <w:p>
      <w:pPr>
        <w:pStyle w:val="ListParagraph"/>
        <w:numPr>
          <w:ilvl w:val="0"/>
          <w:numId w:val="1"/>
        </w:numPr>
        <w:spacing w:after="90"/>
      </w:pPr>
      <w:r>
        <w:rPr>
          <w:color w:val="1B2436"/>
          <w:sz w:val="22"/>
          <w:szCs w:val="22"/>
        </w:rPr>
        <w:t xml:space="preserve">Required Personal Data Sheet (PDS) — PDF copy</w:t>
      </w:r>
    </w:p>
    <w:p>
      <w:pPr>
        <w:pStyle w:val="ListParagraph"/>
        <w:numPr>
          <w:ilvl w:val="0"/>
          <w:numId w:val="1"/>
        </w:numPr>
        <w:spacing w:after="90"/>
      </w:pPr>
      <w:r>
        <w:rPr>
          <w:color w:val="1B2436"/>
          <w:sz w:val="22"/>
          <w:szCs w:val="22"/>
        </w:rPr>
        <w:t xml:space="preserve">Required Personal Data Sheet (PDS) — Excel (CS Form 212) copy</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38400"/>
                    </a:xfrm>
                    <a:prstGeom prst="rect">
                      <a:avLst/>
                    </a:prstGeom>
                  </pic:spPr>
                </pic:pic>
              </a:graphicData>
            </a:graphic>
          </wp:inline>
        </w:drawing>
      </w:r>
    </w:p>
    <w:p>
      <w:pPr>
        <w:spacing w:after="260"/>
        <w:jc w:val="center"/>
      </w:pPr>
      <w:r>
        <w:rPr>
          <w:i/>
          <w:iCs/>
          <w:color w:val="5C6577"/>
          <w:sz w:val="18"/>
          <w:szCs w:val="18"/>
        </w:rPr>
        <w:t xml:space="preserve">Fig. 5 — The full documents checklist — only the two PDS copies are always required</w:t>
      </w:r>
    </w:p>
    <w:p>
      <w:pPr>
        <w:pStyle w:val="Heading2"/>
        <w:spacing w:after="100" w:before="320"/>
      </w:pPr>
      <w:r>
        <w:rPr>
          <w:color w:val="0B3D78"/>
        </w:rPr>
        <w:t xml:space="preserve">Step 6 — Browse job postings</w:t>
      </w:r>
    </w:p>
    <w:p>
      <w:pPr>
        <w:spacing w:after="160" w:line="300"/>
      </w:pPr>
      <w:r>
        <w:rPr>
          <w:color w:val="1B2436"/>
          <w:sz w:val="22"/>
          <w:szCs w:val="22"/>
        </w:rPr>
        <w:t xml:space="preserve">Finishing registration takes you straight to the open postings. Each card shows the salary grade, monthly salary, and closing date at a glance.</w:t>
      </w:r>
    </w:p>
    <w:p>
      <w:pPr>
        <w:spacing w:after="160" w:line="300"/>
      </w:pPr>
      <w:r>
        <w:rPr>
          <w:color w:val="1B2436"/>
          <w:sz w:val="22"/>
          <w:szCs w:val="22"/>
        </w:rPr>
        <w:t xml:space="preserve">If a posting requires a civil service eligibility you don't hold on file, its button reads Not eligible instead of Apply, with a note on exactly which eligibility is required — so you know before you try, not after a rejection.</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38400"/>
                    </a:xfrm>
                    <a:prstGeom prst="rect">
                      <a:avLst/>
                    </a:prstGeom>
                  </pic:spPr>
                </pic:pic>
              </a:graphicData>
            </a:graphic>
          </wp:inline>
        </w:drawing>
      </w:r>
    </w:p>
    <w:p>
      <w:pPr>
        <w:spacing w:after="260"/>
        <w:jc w:val="center"/>
      </w:pPr>
      <w:r>
        <w:rPr>
          <w:i/>
          <w:iCs/>
          <w:color w:val="5C6577"/>
          <w:sz w:val="18"/>
          <w:szCs w:val="18"/>
        </w:rPr>
        <w:t xml:space="preserve">Fig. 7 — Job Postings — eligibility gating shows &amp;ldquo;Not eligible&amp;rdquo; before you waste a click</w:t>
      </w:r>
    </w:p>
    <w:p>
      <w:pPr>
        <w:pStyle w:val="Heading2"/>
        <w:spacing w:after="100" w:before="320"/>
      </w:pPr>
      <w:r>
        <w:rPr>
          <w:color w:val="0B3D78"/>
        </w:rPr>
        <w:t xml:space="preserve">Step 7 — Read the full posting details</w:t>
      </w:r>
    </w:p>
    <w:p>
      <w:pPr>
        <w:spacing w:after="160" w:line="300"/>
      </w:pPr>
      <w:r>
        <w:rPr>
          <w:color w:val="1B2436"/>
          <w:sz w:val="22"/>
          <w:szCs w:val="22"/>
        </w:rPr>
        <w:t xml:space="preserve">View Details opens the complete qualification standards — education, training, experience, eligibility — along with plantilla number, place of assignment, and the full list of duties and responsibilities, exactly as the official posting document lists them.</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38400"/>
                    </a:xfrm>
                    <a:prstGeom prst="rect">
                      <a:avLst/>
                    </a:prstGeom>
                  </pic:spPr>
                </pic:pic>
              </a:graphicData>
            </a:graphic>
          </wp:inline>
        </w:drawing>
      </w:r>
    </w:p>
    <w:p>
      <w:pPr>
        <w:spacing w:after="260"/>
        <w:jc w:val="center"/>
      </w:pPr>
      <w:r>
        <w:rPr>
          <w:i/>
          <w:iCs/>
          <w:color w:val="5C6577"/>
          <w:sz w:val="18"/>
          <w:szCs w:val="18"/>
        </w:rPr>
        <w:t xml:space="preserve">Fig. 8 — Posting details — the full qualification standards, straight from the official posting</w:t>
      </w:r>
    </w:p>
    <w:p>
      <w:pPr>
        <w:pStyle w:val="Heading2"/>
        <w:spacing w:after="100" w:before="320"/>
      </w:pPr>
      <w:r>
        <w:rPr>
          <w:color w:val="0B3D78"/>
        </w:rPr>
        <w:t xml:space="preserve">Step 8 — Submit an application</w:t>
      </w:r>
    </w:p>
    <w:p>
      <w:pPr>
        <w:spacing w:after="160" w:line="300"/>
      </w:pPr>
      <w:r>
        <w:rPr>
          <w:color w:val="1B2436"/>
          <w:sz w:val="22"/>
          <w:szCs w:val="22"/>
        </w:rPr>
        <w:t xml:space="preserve">Clicking Apply shows exactly who your Application Letter should be addressed to — the Regional Director, through the Human Resource Section head — and asks for the letter itself (PDF, JPEG, or PNG). This is the one document tied to this specific application rather than your general profile.</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38400"/>
                    </a:xfrm>
                    <a:prstGeom prst="rect">
                      <a:avLst/>
                    </a:prstGeom>
                  </pic:spPr>
                </pic:pic>
              </a:graphicData>
            </a:graphic>
          </wp:inline>
        </w:drawing>
      </w:r>
    </w:p>
    <w:p>
      <w:pPr>
        <w:spacing w:after="260"/>
        <w:jc w:val="center"/>
      </w:pPr>
      <w:r>
        <w:rPr>
          <w:i/>
          <w:iCs/>
          <w:color w:val="5C6577"/>
          <w:sz w:val="18"/>
          <w:szCs w:val="18"/>
        </w:rPr>
        <w:t xml:space="preserve">Fig. 9 — Applying — the Application Letter is the only document you attach at this step</w:t>
      </w:r>
    </w:p>
    <w:p>
      <w:pPr>
        <w:pStyle w:val="Heading2"/>
        <w:spacing w:after="100" w:before="320"/>
      </w:pPr>
      <w:r>
        <w:rPr>
          <w:color w:val="0B3D78"/>
        </w:rPr>
        <w:t xml:space="preserve">Step 9 — Track your application</w:t>
      </w:r>
    </w:p>
    <w:p>
      <w:pPr>
        <w:spacing w:after="160" w:line="300"/>
      </w:pPr>
      <w:r>
        <w:rPr>
          <w:color w:val="1B2436"/>
          <w:sz w:val="22"/>
          <w:szCs w:val="22"/>
        </w:rPr>
        <w:t xml:space="preserve">The My Applications page shows every application you've submitted against a seven-stage tracker, so you always know exactly where you stand.</w:t>
      </w:r>
    </w:p>
    <w:p>
      <w:pPr>
        <w:pStyle w:val="ListParagraph"/>
        <w:numPr>
          <w:ilvl w:val="0"/>
          <w:numId w:val="1"/>
        </w:numPr>
        <w:spacing w:after="90"/>
      </w:pPr>
      <w:r>
        <w:rPr>
          <w:color w:val="1B2436"/>
          <w:sz w:val="22"/>
          <w:szCs w:val="22"/>
        </w:rPr>
        <w:t xml:space="preserve">Submitted</w:t>
      </w:r>
    </w:p>
    <w:p>
      <w:pPr>
        <w:pStyle w:val="ListParagraph"/>
        <w:numPr>
          <w:ilvl w:val="0"/>
          <w:numId w:val="1"/>
        </w:numPr>
        <w:spacing w:after="90"/>
      </w:pPr>
      <w:r>
        <w:rPr>
          <w:color w:val="1B2436"/>
          <w:sz w:val="22"/>
          <w:szCs w:val="22"/>
        </w:rPr>
        <w:t xml:space="preserve">Sifting</w:t>
      </w:r>
    </w:p>
    <w:p>
      <w:pPr>
        <w:pStyle w:val="ListParagraph"/>
        <w:numPr>
          <w:ilvl w:val="0"/>
          <w:numId w:val="1"/>
        </w:numPr>
        <w:spacing w:after="90"/>
      </w:pPr>
      <w:r>
        <w:rPr>
          <w:color w:val="1B2436"/>
          <w:sz w:val="22"/>
          <w:szCs w:val="22"/>
        </w:rPr>
        <w:t xml:space="preserve">Pre-Qualifying Examination</w:t>
      </w:r>
    </w:p>
    <w:p>
      <w:pPr>
        <w:pStyle w:val="ListParagraph"/>
        <w:numPr>
          <w:ilvl w:val="0"/>
          <w:numId w:val="1"/>
        </w:numPr>
        <w:spacing w:after="90"/>
      </w:pPr>
      <w:r>
        <w:rPr>
          <w:color w:val="1B2436"/>
          <w:sz w:val="22"/>
          <w:szCs w:val="22"/>
        </w:rPr>
        <w:t xml:space="preserve">Evaluation of Applicants</w:t>
      </w:r>
    </w:p>
    <w:p>
      <w:pPr>
        <w:pStyle w:val="ListParagraph"/>
        <w:numPr>
          <w:ilvl w:val="0"/>
          <w:numId w:val="1"/>
        </w:numPr>
        <w:spacing w:after="90"/>
      </w:pPr>
      <w:r>
        <w:rPr>
          <w:color w:val="1B2436"/>
          <w:sz w:val="22"/>
          <w:szCs w:val="22"/>
        </w:rPr>
        <w:t xml:space="preserve">Compliance to Requirements</w:t>
      </w:r>
    </w:p>
    <w:p>
      <w:pPr>
        <w:pStyle w:val="ListParagraph"/>
        <w:numPr>
          <w:ilvl w:val="0"/>
          <w:numId w:val="1"/>
        </w:numPr>
        <w:spacing w:after="90"/>
      </w:pPr>
      <w:r>
        <w:rPr>
          <w:color w:val="1B2436"/>
          <w:sz w:val="22"/>
          <w:szCs w:val="22"/>
        </w:rPr>
        <w:t xml:space="preserve">Oath-Taking</w:t>
      </w:r>
    </w:p>
    <w:p>
      <w:pPr>
        <w:pStyle w:val="ListParagraph"/>
        <w:numPr>
          <w:ilvl w:val="0"/>
          <w:numId w:val="1"/>
        </w:numPr>
        <w:spacing w:after="90"/>
      </w:pPr>
      <w:r>
        <w:rPr>
          <w:color w:val="1B2436"/>
          <w:sz w:val="22"/>
          <w:szCs w:val="22"/>
        </w:rPr>
        <w:t xml:space="preserve">Hired</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38400"/>
                    </a:xfrm>
                    <a:prstGeom prst="rect">
                      <a:avLst/>
                    </a:prstGeom>
                  </pic:spPr>
                </pic:pic>
              </a:graphicData>
            </a:graphic>
          </wp:inline>
        </w:drawing>
      </w:r>
    </w:p>
    <w:p>
      <w:pPr>
        <w:spacing w:after="260"/>
        <w:jc w:val="center"/>
      </w:pPr>
      <w:r>
        <w:rPr>
          <w:i/>
          <w:iCs/>
          <w:color w:val="5C6577"/>
          <w:sz w:val="18"/>
          <w:szCs w:val="18"/>
        </w:rPr>
        <w:t xml:space="preserve">Fig. 10 — My Applications — this application has just entered Sifting</w:t>
      </w:r>
    </w:p>
    <w:p>
      <w:r>
        <w:br w:type="page"/>
      </w:r>
    </w:p>
    <w:p>
      <w:pPr>
        <w:shd w:fill="A9762C" w:val="clear"/>
        <w:spacing w:after="300" w:before="100"/>
      </w:pPr>
      <w:r>
        <w:rPr>
          <w:b/>
          <w:bCs/>
          <w:color w:val="FFFFFF"/>
          <w:sz w:val="26"/>
          <w:szCs w:val="26"/>
        </w:rPr>
        <w:t xml:space="preserve">PART II   FOR ADMINISTRATORS</w:t>
      </w:r>
    </w:p>
    <w:p>
      <w:pPr>
        <w:spacing w:after="160" w:line="300"/>
      </w:pPr>
      <w:r>
        <w:rPr>
          <w:i/>
          <w:iCs/>
          <w:color w:val="5C6577"/>
          <w:sz w:val="22"/>
          <w:szCs w:val="22"/>
        </w:rPr>
        <w:t xml:space="preserve">Post the job, run the pipeline from sifting through interview scheduling, and manage every account and record along the way.</w:t>
      </w:r>
    </w:p>
    <w:p>
      <w:pPr>
        <w:pStyle w:val="Heading2"/>
        <w:spacing w:after="100" w:before="320"/>
      </w:pPr>
      <w:r>
        <w:rPr>
          <w:color w:val="0B3D78"/>
        </w:rPr>
        <w:t xml:space="preserve">Step 1 — Start at the Dashboard</w:t>
      </w:r>
    </w:p>
    <w:p>
      <w:pPr>
        <w:spacing w:after="160" w:line="300"/>
      </w:pPr>
      <w:r>
        <w:rPr>
          <w:color w:val="1B2436"/>
          <w:sz w:val="22"/>
          <w:szCs w:val="22"/>
        </w:rPr>
        <w:t xml:space="preserve">The Dashboard is the admin landing page: total applicants, job postings, applications, and users at a glance, a pie chart of applications by pipeline stage, a pie chart of the top postings by application count, and a feed of recent activity below the fold.</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438400"/>
                    </a:xfrm>
                    <a:prstGeom prst="rect">
                      <a:avLst/>
                    </a:prstGeom>
                  </pic:spPr>
                </pic:pic>
              </a:graphicData>
            </a:graphic>
          </wp:inline>
        </w:drawing>
      </w:r>
    </w:p>
    <w:p>
      <w:pPr>
        <w:spacing w:after="260"/>
        <w:jc w:val="center"/>
      </w:pPr>
      <w:r>
        <w:rPr>
          <w:i/>
          <w:iCs/>
          <w:color w:val="5C6577"/>
          <w:sz w:val="18"/>
          <w:szCs w:val="18"/>
        </w:rPr>
        <w:t xml:space="preserve">Fig. 11 — Dashboard — the admin landing page</w:t>
      </w:r>
    </w:p>
    <w:p>
      <w:pPr>
        <w:pStyle w:val="Heading2"/>
        <w:spacing w:after="100" w:before="320"/>
      </w:pPr>
      <w:r>
        <w:rPr>
          <w:color w:val="0B3D78"/>
        </w:rPr>
        <w:t xml:space="preserve">Step 2 — Post and manage jobs</w:t>
      </w:r>
    </w:p>
    <w:p>
      <w:pPr>
        <w:spacing w:after="160" w:line="300"/>
      </w:pPr>
      <w:r>
        <w:rPr>
          <w:color w:val="1B2436"/>
          <w:sz w:val="22"/>
          <w:szCs w:val="22"/>
        </w:rPr>
        <w:t xml:space="preserve">Job Management is where postings get created, edited, and closed. A posting captures every field the official document does — salary grade, plantilla number, place of assignment, duties — plus which civil service eligibilities, if any, an applicant needs to apply.</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438400"/>
                    </a:xfrm>
                    <a:prstGeom prst="rect">
                      <a:avLst/>
                    </a:prstGeom>
                  </pic:spPr>
                </pic:pic>
              </a:graphicData>
            </a:graphic>
          </wp:inline>
        </w:drawing>
      </w:r>
    </w:p>
    <w:p>
      <w:pPr>
        <w:spacing w:after="260"/>
        <w:jc w:val="center"/>
      </w:pPr>
      <w:r>
        <w:rPr>
          <w:i/>
          <w:iCs/>
          <w:color w:val="5C6577"/>
          <w:sz w:val="18"/>
          <w:szCs w:val="18"/>
        </w:rPr>
        <w:t xml:space="preserve">Fig. 12 — Job Management — every open posting, with Edit / Delete per row</w:t>
      </w:r>
    </w:p>
    <w:p>
      <w:pPr>
        <w:pStyle w:val="Heading2"/>
        <w:spacing w:after="100" w:before="320"/>
      </w:pPr>
      <w:r>
        <w:rPr>
          <w:color w:val="0B3D78"/>
        </w:rPr>
        <w:t xml:space="preserve">Step 3 — Set up reusable Positions</w:t>
      </w:r>
    </w:p>
    <w:p>
      <w:pPr>
        <w:spacing w:after="160" w:line="300"/>
      </w:pPr>
      <w:r>
        <w:rPr>
          <w:color w:val="1B2436"/>
          <w:sz w:val="22"/>
          <w:szCs w:val="22"/>
        </w:rPr>
        <w:t xml:space="preserve">A Position is a reusable template — a title you can pick from a dropdown instead of retyping, optionally carrying its own default panel of interviewers. Create a posting from a Position and that default panel is assigned to its interview board automatically, the moment the posting exists.</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38400"/>
                    </a:xfrm>
                    <a:prstGeom prst="rect">
                      <a:avLst/>
                    </a:prstGeom>
                  </pic:spPr>
                </pic:pic>
              </a:graphicData>
            </a:graphic>
          </wp:inline>
        </w:drawing>
      </w:r>
    </w:p>
    <w:p>
      <w:pPr>
        <w:spacing w:after="260"/>
        <w:jc w:val="center"/>
      </w:pPr>
      <w:r>
        <w:rPr>
          <w:i/>
          <w:iCs/>
          <w:color w:val="5C6577"/>
          <w:sz w:val="18"/>
          <w:szCs w:val="18"/>
        </w:rPr>
        <w:t xml:space="preserve">Fig. 13 — Positions — reusable titles that can carry a default interview panel</w:t>
      </w:r>
    </w:p>
    <w:p>
      <w:pPr>
        <w:pStyle w:val="Heading2"/>
        <w:spacing w:after="100" w:before="320"/>
      </w:pPr>
      <w:r>
        <w:rPr>
          <w:color w:val="0B3D78"/>
        </w:rPr>
        <w:t xml:space="preserve">Step 4 — Manage accounts, including Panel accounts</w:t>
      </w:r>
    </w:p>
    <w:p>
      <w:pPr>
        <w:spacing w:after="160" w:line="300"/>
      </w:pPr>
      <w:r>
        <w:rPr>
          <w:color w:val="1B2436"/>
          <w:sz w:val="22"/>
          <w:szCs w:val="22"/>
        </w:rPr>
        <w:t xml:space="preserve">Users Management is the only place Admin and Panel accounts get created — applicants always register themselves. Click Add User, choose a role, and set a password directly; there's no separate invitation step.</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38400"/>
                    </a:xfrm>
                    <a:prstGeom prst="rect">
                      <a:avLst/>
                    </a:prstGeom>
                  </pic:spPr>
                </pic:pic>
              </a:graphicData>
            </a:graphic>
          </wp:inline>
        </w:drawing>
      </w:r>
    </w:p>
    <w:p>
      <w:pPr>
        <w:spacing w:after="260"/>
        <w:jc w:val="center"/>
      </w:pPr>
      <w:r>
        <w:rPr>
          <w:i/>
          <w:iCs/>
          <w:color w:val="5C6577"/>
          <w:sz w:val="18"/>
          <w:szCs w:val="18"/>
        </w:rPr>
        <w:t xml:space="preserve">Fig. 14 — Users Management — every account in the system, filterable by role</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438400"/>
                    </a:xfrm>
                    <a:prstGeom prst="rect">
                      <a:avLst/>
                    </a:prstGeom>
                  </pic:spPr>
                </pic:pic>
              </a:graphicData>
            </a:graphic>
          </wp:inline>
        </w:drawing>
      </w:r>
    </w:p>
    <w:p>
      <w:pPr>
        <w:spacing w:after="260"/>
        <w:jc w:val="center"/>
      </w:pPr>
      <w:r>
        <w:rPr>
          <w:i/>
          <w:iCs/>
          <w:color w:val="5C6577"/>
          <w:sz w:val="18"/>
          <w:szCs w:val="18"/>
        </w:rPr>
        <w:t xml:space="preserve">Fig. 15 — Adding a new Panel account — the same form creates Admin accounts too</w:t>
      </w:r>
    </w:p>
    <w:p>
      <w:pPr>
        <w:pStyle w:val="Heading2"/>
        <w:spacing w:after="100" w:before="320"/>
      </w:pPr>
      <w:r>
        <w:rPr>
          <w:color w:val="0B3D78"/>
        </w:rPr>
        <w:t xml:space="preserve">Step 5 — Sift an application</w:t>
      </w:r>
    </w:p>
    <w:p>
      <w:pPr>
        <w:spacing w:after="160" w:line="300"/>
      </w:pPr>
      <w:r>
        <w:rPr>
          <w:color w:val="1B2436"/>
          <w:sz w:val="22"/>
          <w:szCs w:val="22"/>
        </w:rPr>
        <w:t xml:space="preserve">Every submitted application lands in Evaluate Applicants already Under Sifting. Click Sift on a row to record whether the applicant meets the posting's qualification standards, with an optional remark.</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438400"/>
                    </a:xfrm>
                    <a:prstGeom prst="rect">
                      <a:avLst/>
                    </a:prstGeom>
                  </pic:spPr>
                </pic:pic>
              </a:graphicData>
            </a:graphic>
          </wp:inline>
        </w:drawing>
      </w:r>
    </w:p>
    <w:p>
      <w:pPr>
        <w:spacing w:after="260"/>
        <w:jc w:val="center"/>
      </w:pPr>
      <w:r>
        <w:rPr>
          <w:i/>
          <w:iCs/>
          <w:color w:val="5C6577"/>
          <w:sz w:val="18"/>
          <w:szCs w:val="18"/>
        </w:rPr>
        <w:t xml:space="preserve">Fig. 16 — Evaluate Applicants — every application, across every posting, in one table</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438400"/>
                    </a:xfrm>
                    <a:prstGeom prst="rect">
                      <a:avLst/>
                    </a:prstGeom>
                  </pic:spPr>
                </pic:pic>
              </a:graphicData>
            </a:graphic>
          </wp:inline>
        </w:drawing>
      </w:r>
    </w:p>
    <w:p>
      <w:pPr>
        <w:spacing w:after="260"/>
        <w:jc w:val="center"/>
      </w:pPr>
      <w:r>
        <w:rPr>
          <w:i/>
          <w:iCs/>
          <w:color w:val="5C6577"/>
          <w:sz w:val="18"/>
          <w:szCs w:val="18"/>
        </w:rPr>
        <w:t xml:space="preserve">Fig. 17 — Recording a sifting decision — opens inline, right below the row</w:t>
      </w:r>
    </w:p>
    <w:p>
      <w:pPr>
        <w:pStyle w:val="Heading2"/>
        <w:spacing w:after="100" w:before="320"/>
      </w:pPr>
      <w:r>
        <w:rPr>
          <w:color w:val="0B3D78"/>
        </w:rPr>
        <w:t xml:space="preserve">Step 6 — Record a Pre-Qualifying Examination score</w:t>
      </w:r>
    </w:p>
    <w:p>
      <w:pPr>
        <w:spacing w:after="160" w:line="300"/>
      </w:pPr>
      <w:r>
        <w:rPr>
          <w:color w:val="1B2436"/>
          <w:sz w:val="22"/>
          <w:szCs w:val="22"/>
        </w:rPr>
        <w:t xml:space="preserve">Once an applicant is Qualified, the row's action becomes Enter PQE Score. Type a score from 0–100 directly, or use Import PQE Scores above the table to upload an entire batch from an Excel sheet at once — useful when a whole exam session needs recording in one pass.</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438400"/>
                    </a:xfrm>
                    <a:prstGeom prst="rect">
                      <a:avLst/>
                    </a:prstGeom>
                  </pic:spPr>
                </pic:pic>
              </a:graphicData>
            </a:graphic>
          </wp:inline>
        </w:drawing>
      </w:r>
    </w:p>
    <w:p>
      <w:pPr>
        <w:spacing w:after="260"/>
        <w:jc w:val="center"/>
      </w:pPr>
      <w:r>
        <w:rPr>
          <w:i/>
          <w:iCs/>
          <w:color w:val="5C6577"/>
          <w:sz w:val="18"/>
          <w:szCs w:val="18"/>
        </w:rPr>
        <w:t xml:space="preserve">Fig. 18 — Entering one PQE score — or import a whole batch from Excel above the table</w:t>
      </w:r>
    </w:p>
    <w:p>
      <w:pPr>
        <w:pStyle w:val="Heading2"/>
        <w:spacing w:after="100" w:before="320"/>
      </w:pPr>
      <w:r>
        <w:rPr>
          <w:color w:val="0B3D78"/>
        </w:rPr>
        <w:t xml:space="preserve">Step 7 — Schedule the interview</w:t>
      </w:r>
    </w:p>
    <w:p>
      <w:pPr>
        <w:spacing w:after="160" w:line="300"/>
      </w:pPr>
      <w:r>
        <w:rPr>
          <w:color w:val="1B2436"/>
          <w:sz w:val="22"/>
          <w:szCs w:val="22"/>
        </w:rPr>
        <w:t xml:space="preserve">With a score on file, the action becomes Evaluate Applicant, which opens a scheduling form: date and time, an optional end time, venue, dress code, and any additional instructions — all of which go straight into the notification email the applicant receives.</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438400"/>
                    </a:xfrm>
                    <a:prstGeom prst="rect">
                      <a:avLst/>
                    </a:prstGeom>
                  </pic:spPr>
                </pic:pic>
              </a:graphicData>
            </a:graphic>
          </wp:inline>
        </w:drawing>
      </w:r>
    </w:p>
    <w:p>
      <w:pPr>
        <w:spacing w:after="260"/>
        <w:jc w:val="center"/>
      </w:pPr>
      <w:r>
        <w:rPr>
          <w:i/>
          <w:iCs/>
          <w:color w:val="5C6577"/>
          <w:sz w:val="18"/>
          <w:szCs w:val="18"/>
        </w:rPr>
        <w:t xml:space="preserve">Fig. 19 — Scheduling the interview — every field here reaches the applicant's inbox</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438400"/>
                    </a:xfrm>
                    <a:prstGeom prst="rect">
                      <a:avLst/>
                    </a:prstGeom>
                  </pic:spPr>
                </pic:pic>
              </a:graphicData>
            </a:graphic>
          </wp:inline>
        </w:drawing>
      </w:r>
    </w:p>
    <w:p>
      <w:pPr>
        <w:spacing w:after="260"/>
        <w:jc w:val="center"/>
      </w:pPr>
      <w:r>
        <w:rPr>
          <w:i/>
          <w:iCs/>
          <w:color w:val="5C6577"/>
          <w:sz w:val="18"/>
          <w:szCs w:val="18"/>
        </w:rPr>
        <w:t xml:space="preserve">Fig. 20 — Once scheduled, the applicant's status advances to Evaluation of Applicants</w:t>
      </w:r>
    </w:p>
    <w:p>
      <w:pPr>
        <w:pStyle w:val="Heading2"/>
        <w:spacing w:after="100" w:before="320"/>
      </w:pPr>
      <w:r>
        <w:rPr>
          <w:color w:val="0B3D78"/>
        </w:rPr>
        <w:t xml:space="preserve">Step 8 — Assign an interview panel</w:t>
      </w:r>
    </w:p>
    <w:p>
      <w:pPr>
        <w:spacing w:after="160" w:line="300"/>
      </w:pPr>
      <w:r>
        <w:rPr>
          <w:color w:val="1B2436"/>
          <w:sz w:val="22"/>
          <w:szCs w:val="22"/>
        </w:rPr>
        <w:t xml:space="preserve">On the Interview Panel page, every applicant scheduled for interview appears with their posting's current board. A panel is assigned per posting, not per applicant — every panelist you assign can see and score every candidate under that same posting.</w:t>
      </w:r>
    </w:p>
    <w:p>
      <w:pPr>
        <w:spacing w:after="160" w:line="300"/>
      </w:pPr>
      <w:r>
        <w:rPr>
          <w:color w:val="1B2436"/>
          <w:sz w:val="22"/>
          <w:szCs w:val="22"/>
        </w:rPr>
        <w:t xml:space="preserve">To assign several applicants at once, check their rows — the header checkbox selects the current page, and a Select all&amp;hellip; matching filters link covers everyone across every page — then click Assign Panel to Selected. The dialog lists every distinct posting your selection touches and lets you pick which panelists to add to all of them in one action.</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438400"/>
                    </a:xfrm>
                    <a:prstGeom prst="rect">
                      <a:avLst/>
                    </a:prstGeom>
                  </pic:spPr>
                </pic:pic>
              </a:graphicData>
            </a:graphic>
          </wp:inline>
        </w:drawing>
      </w:r>
    </w:p>
    <w:p>
      <w:pPr>
        <w:spacing w:after="260"/>
        <w:jc w:val="center"/>
      </w:pPr>
      <w:r>
        <w:rPr>
          <w:i/>
          <w:iCs/>
          <w:color w:val="5C6577"/>
          <w:sz w:val="18"/>
          <w:szCs w:val="18"/>
        </w:rPr>
        <w:t xml:space="preserve">Fig. 21 — Bulk-assigning a panel — select applicants, then add panelists across every posting they touch</w:t>
      </w:r>
    </w:p>
    <w:p>
      <w:pPr>
        <w:pStyle w:val="Heading2"/>
        <w:spacing w:after="100" w:before="320"/>
      </w:pPr>
      <w:r>
        <w:rPr>
          <w:color w:val="0B3D78"/>
        </w:rPr>
        <w:t xml:space="preserve">Step 9 — Maintain the interview rubric</w:t>
      </w:r>
    </w:p>
    <w:p>
      <w:pPr>
        <w:spacing w:after="160" w:line="300"/>
      </w:pPr>
      <w:r>
        <w:rPr>
          <w:color w:val="1B2436"/>
          <w:sz w:val="22"/>
          <w:szCs w:val="22"/>
        </w:rPr>
        <w:t xml:space="preserve">Categories (renamed from Evaluation Criteria) group what panelists score against — each category is worth a fixed percent of the overall evaluation (its Weight %) regardless of how many criteria/questions it has or what their raw points add up to. Every category is made up of individually-scored criteria/questions, each with its own maximum score — a panelist scores every criterion, not the category as a whole. A criterion that already has recorded scores can't be deleted, only deactivated, so past results stay intact.</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438400"/>
                    </a:xfrm>
                    <a:prstGeom prst="rect">
                      <a:avLst/>
                    </a:prstGeom>
                  </pic:spPr>
                </pic:pic>
              </a:graphicData>
            </a:graphic>
          </wp:inline>
        </w:drawing>
      </w:r>
    </w:p>
    <w:p>
      <w:pPr>
        <w:spacing w:after="260"/>
        <w:jc w:val="center"/>
      </w:pPr>
      <w:r>
        <w:rPr>
          <w:i/>
          <w:iCs/>
          <w:color w:val="5C6577"/>
          <w:sz w:val="18"/>
          <w:szCs w:val="18"/>
        </w:rPr>
        <w:t xml:space="preserve">Fig. 22 — Categories — each worth a fixed percent of the overall evaluation, made up of individually-scored criteria</w:t>
      </w:r>
    </w:p>
    <w:p>
      <w:pPr>
        <w:pStyle w:val="Heading2"/>
        <w:spacing w:after="100" w:before="320"/>
      </w:pPr>
      <w:r>
        <w:rPr>
          <w:color w:val="0B3D78"/>
        </w:rPr>
        <w:t xml:space="preserve">Step 10 — Manage the Compliance checklist</w:t>
      </w:r>
    </w:p>
    <w:p>
      <w:pPr>
        <w:spacing w:after="160" w:line="300"/>
      </w:pPr>
      <w:r>
        <w:rPr>
          <w:color w:val="1B2436"/>
          <w:sz w:val="22"/>
          <w:szCs w:val="22"/>
        </w:rPr>
        <w:t xml:space="preserve">Compliance Requirements is the global, CSC-mandated documentary checklist every applicant must clear after passing interview — NBI Clearance, Medical Certificate, and anything else your office requires — before they're scheduled for oath-taking.</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247900"/>
                    </a:xfrm>
                    <a:prstGeom prst="rect">
                      <a:avLst/>
                    </a:prstGeom>
                  </pic:spPr>
                </pic:pic>
              </a:graphicData>
            </a:graphic>
          </wp:inline>
        </w:drawing>
      </w:r>
    </w:p>
    <w:p>
      <w:pPr>
        <w:spacing w:after="260"/>
        <w:jc w:val="center"/>
      </w:pPr>
      <w:r>
        <w:rPr>
          <w:i/>
          <w:iCs/>
          <w:color w:val="5C6577"/>
          <w:sz w:val="18"/>
          <w:szCs w:val="18"/>
        </w:rPr>
        <w:t xml:space="preserve">Fig. 23 — Compliance Requirements — the checklist applicants clear before oath-taking</w:t>
      </w:r>
    </w:p>
    <w:p>
      <w:pPr>
        <w:pStyle w:val="Heading2"/>
        <w:spacing w:after="100" w:before="320"/>
      </w:pPr>
      <w:r>
        <w:rPr>
          <w:color w:val="0B3D78"/>
        </w:rPr>
        <w:t xml:space="preserve">Step 11 — Review the audit trail</w:t>
      </w:r>
    </w:p>
    <w:p>
      <w:pPr>
        <w:spacing w:after="160" w:line="300"/>
      </w:pPr>
      <w:r>
        <w:rPr>
          <w:color w:val="1B2436"/>
          <w:sz w:val="22"/>
          <w:szCs w:val="22"/>
        </w:rPr>
        <w:t xml:space="preserve">History of Logs is a read-only record of every administrative action — who did what, and when — filterable by entity type. Nothing here can be edited or deleted, by design: it's the one place in the system meant to never change once written.</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247900"/>
                    </a:xfrm>
                    <a:prstGeom prst="rect">
                      <a:avLst/>
                    </a:prstGeom>
                  </pic:spPr>
                </pic:pic>
              </a:graphicData>
            </a:graphic>
          </wp:inline>
        </w:drawing>
      </w:r>
    </w:p>
    <w:p>
      <w:pPr>
        <w:spacing w:after="260"/>
        <w:jc w:val="center"/>
      </w:pPr>
      <w:r>
        <w:rPr>
          <w:i/>
          <w:iCs/>
          <w:color w:val="5C6577"/>
          <w:sz w:val="18"/>
          <w:szCs w:val="18"/>
        </w:rPr>
        <w:t xml:space="preserve">Fig. 24 — History of Logs — this exact sequence of actions, recorded automatically as they happened</w:t>
      </w:r>
    </w:p>
    <w:p>
      <w:pPr>
        <w:pStyle w:val="Heading2"/>
        <w:spacing w:after="100" w:before="320"/>
      </w:pPr>
      <w:r>
        <w:rPr>
          <w:color w:val="0B3D78"/>
        </w:rPr>
        <w:t xml:space="preserve">Step 12 — Group applicants for Group Dynamics Evaluation</w:t>
      </w:r>
    </w:p>
    <w:p>
      <w:pPr>
        <w:spacing w:after="160" w:line="300"/>
      </w:pPr>
      <w:r>
        <w:rPr>
          <w:color w:val="1B2436"/>
          <w:sz w:val="22"/>
          <w:szCs w:val="22"/>
        </w:rPr>
        <w:t xml:space="preserve">Group, new next to Interview Panel in the sidebar, lets an admin cluster applicants — across one posting or several — for a shared Group Dynamics exercise. Select at least two applicants using the same checkbox table Interview Panel uses, then click Group to name it and add a short description.</w:t>
      </w:r>
    </w:p>
    <w:p>
      <w:pPr>
        <w:spacing w:after="160" w:line="300"/>
      </w:pPr>
      <w:r>
        <w:rPr>
          <w:color w:val="1B2436"/>
          <w:sz w:val="22"/>
          <w:szCs w:val="22"/>
        </w:rPr>
        <w:t xml:space="preserve">A group's Members action reopens that same checkbox selection, pre-filled with its current roster, so adding or removing applicants later is the same action as creating the group in the first place — just with Save Members in place of Group.</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438400"/>
                    </a:xfrm>
                    <a:prstGeom prst="rect">
                      <a:avLst/>
                    </a:prstGeom>
                  </pic:spPr>
                </pic:pic>
              </a:graphicData>
            </a:graphic>
          </wp:inline>
        </w:drawing>
      </w:r>
    </w:p>
    <w:p>
      <w:pPr>
        <w:spacing w:after="260"/>
        <w:jc w:val="center"/>
      </w:pPr>
      <w:r>
        <w:rPr>
          <w:i/>
          <w:iCs/>
          <w:color w:val="5C6577"/>
          <w:sz w:val="18"/>
          <w:szCs w:val="18"/>
        </w:rPr>
        <w:t xml:space="preserve">Fig. 30 — Group — select at least two applicants, then name the group</w:t>
      </w:r>
    </w:p>
    <w:p>
      <w:pPr>
        <w:pStyle w:val="Heading2"/>
        <w:spacing w:after="100" w:before="320"/>
      </w:pPr>
      <w:r>
        <w:rPr>
          <w:color w:val="0B3D78"/>
        </w:rPr>
        <w:t xml:space="preserve">Also new — structured minimums on a job posting</w:t>
      </w:r>
    </w:p>
    <w:p>
      <w:pPr>
        <w:spacing w:after="160" w:line="300"/>
      </w:pPr>
      <w:r>
        <w:rPr>
          <w:color w:val="1B2436"/>
          <w:sz w:val="22"/>
          <w:szCs w:val="22"/>
        </w:rPr>
        <w:t xml:space="preserve">A posting can now optionally carry a minimum education level, minimum years of experience, and minimum training hours alongside its existing free-text qualification standards. Setting any of these powers an automatic hint — not a hard requirement — shown later when sifting an application against this posting.</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2438400"/>
                    </a:xfrm>
                    <a:prstGeom prst="rect">
                      <a:avLst/>
                    </a:prstGeom>
                  </pic:spPr>
                </pic:pic>
              </a:graphicData>
            </a:graphic>
          </wp:inline>
        </w:drawing>
      </w:r>
    </w:p>
    <w:p>
      <w:pPr>
        <w:spacing w:after="260"/>
        <w:jc w:val="center"/>
      </w:pPr>
      <w:r>
        <w:rPr>
          <w:i/>
          <w:iCs/>
          <w:color w:val="5C6577"/>
          <w:sz w:val="18"/>
          <w:szCs w:val="18"/>
        </w:rPr>
        <w:t xml:space="preserve">Fig. 31 — Job Management — optional structured minimums, alongside the existing free-text standards</w:t>
      </w:r>
    </w:p>
    <w:p>
      <w:pPr>
        <w:pStyle w:val="Heading2"/>
        <w:spacing w:after="100" w:before="320"/>
      </w:pPr>
      <w:r>
        <w:rPr>
          <w:color w:val="0B3D78"/>
        </w:rPr>
        <w:t xml:space="preserve">Also new — automatic Qualification Standards hints when sifting</w:t>
      </w:r>
    </w:p>
    <w:p>
      <w:pPr>
        <w:spacing w:after="160" w:line="300"/>
      </w:pPr>
      <w:r>
        <w:rPr>
          <w:color w:val="1B2436"/>
          <w:sz w:val="22"/>
          <w:szCs w:val="22"/>
        </w:rPr>
        <w:t xml:space="preserve">The Sift dialog now shows a Qualification Standards card comparing a posting's structured minimums (where set) against the applicant's profile — Meets, Below minimum, or No automatic check, per field (education, training, experience, eligibility). It's a hint only: the free-text standard stays the authoritative wording, and the sifting decision itself is still the admin's judgment call, not a system-enforced gate.</w:t>
      </w:r>
    </w:p>
    <w:p>
      <w:pPr>
        <w:pStyle w:val="Heading2"/>
        <w:spacing w:after="100" w:before="320"/>
      </w:pPr>
      <w:r>
        <w:rPr>
          <w:color w:val="0B3D78"/>
        </w:rPr>
        <w:t xml:space="preserve">Also new — require both a softcopy and a hardcopy for one compliance item</w:t>
      </w:r>
    </w:p>
    <w:p>
      <w:pPr>
        <w:spacing w:after="160" w:line="300"/>
      </w:pPr>
      <w:r>
        <w:rPr>
          <w:color w:val="1B2436"/>
          <w:sz w:val="22"/>
          <w:szCs w:val="22"/>
        </w:rPr>
        <w:t xml:space="preserve">A compliance checklist item's expected submission can now be set to Softcopy (online upload), Hardcopy (physical, outside the system), or Both — per item, from Manage Compliance on an applicant's Evaluate Applicants row. A Both item still needs the online proof uploaded before it can be Verified, exactly like Softcopy, and the admin's own Verified action also stands as the record that the physical copy was received.</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2438400"/>
                    </a:xfrm>
                    <a:prstGeom prst="rect">
                      <a:avLst/>
                    </a:prstGeom>
                  </pic:spPr>
                </pic:pic>
              </a:graphicData>
            </a:graphic>
          </wp:inline>
        </w:drawing>
      </w:r>
    </w:p>
    <w:p>
      <w:pPr>
        <w:spacing w:after="260"/>
        <w:jc w:val="center"/>
      </w:pPr>
      <w:r>
        <w:rPr>
          <w:i/>
          <w:iCs/>
          <w:color w:val="5C6577"/>
          <w:sz w:val="18"/>
          <w:szCs w:val="18"/>
        </w:rPr>
        <w:t xml:space="preserve">Fig. 32 — Manage Compliance — Both requires the online upload and a physical copy in person</w:t>
      </w:r>
    </w:p>
    <w:p>
      <w:r>
        <w:br w:type="page"/>
      </w:r>
    </w:p>
    <w:p>
      <w:pPr>
        <w:shd w:fill="2F6F68" w:val="clear"/>
        <w:spacing w:after="300" w:before="100"/>
      </w:pPr>
      <w:r>
        <w:rPr>
          <w:b/>
          <w:bCs/>
          <w:color w:val="FFFFFF"/>
          <w:sz w:val="26"/>
          <w:szCs w:val="26"/>
        </w:rPr>
        <w:t xml:space="preserve">PART III   FOR PANEL MEMBERS</w:t>
      </w:r>
    </w:p>
    <w:p>
      <w:pPr>
        <w:spacing w:after="160" w:line="300"/>
      </w:pPr>
      <w:r>
        <w:rPr>
          <w:i/>
          <w:iCs/>
          <w:color w:val="5C6577"/>
          <w:sz w:val="22"/>
          <w:szCs w:val="22"/>
        </w:rPr>
        <w:t xml:space="preserve">Everything a panelist needs lives on one page: the interview queue, the rubric, and the score you record for each applicant assigned to you.</w:t>
      </w:r>
    </w:p>
    <w:p>
      <w:pPr>
        <w:pStyle w:val="Heading2"/>
        <w:spacing w:after="100" w:before="320"/>
      </w:pPr>
      <w:r>
        <w:rPr>
          <w:color w:val="0B3D78"/>
        </w:rPr>
        <w:t xml:space="preserve">Step 1 — Your interview queue</w:t>
      </w:r>
    </w:p>
    <w:p>
      <w:pPr>
        <w:spacing w:after="160" w:line="300"/>
      </w:pPr>
      <w:r>
        <w:rPr>
          <w:color w:val="1B2436"/>
          <w:sz w:val="22"/>
          <w:szCs w:val="22"/>
        </w:rPr>
        <w:t xml:space="preserve">My Interviews lists every applicant scheduled for evaluation across every posting you've been assigned to as a panelist — nothing from postings you aren't on. Each row starts Pending until you record a score.</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247900"/>
                    </a:xfrm>
                    <a:prstGeom prst="rect">
                      <a:avLst/>
                    </a:prstGeom>
                  </pic:spPr>
                </pic:pic>
              </a:graphicData>
            </a:graphic>
          </wp:inline>
        </w:drawing>
      </w:r>
    </w:p>
    <w:p>
      <w:pPr>
        <w:spacing w:after="260"/>
        <w:jc w:val="center"/>
      </w:pPr>
      <w:r>
        <w:rPr>
          <w:i/>
          <w:iCs/>
          <w:color w:val="5C6577"/>
          <w:sz w:val="18"/>
          <w:szCs w:val="18"/>
        </w:rPr>
        <w:t xml:space="preserve">Fig. 25 — My Interviews — your assigned queue, nothing more</w:t>
      </w:r>
    </w:p>
    <w:p>
      <w:pPr>
        <w:pStyle w:val="Heading2"/>
        <w:spacing w:after="100" w:before="320"/>
      </w:pPr>
      <w:r>
        <w:rPr>
          <w:color w:val="0B3D78"/>
        </w:rPr>
        <w:t xml:space="preserve">Step 2 — Check the rubric before you start</w:t>
      </w:r>
    </w:p>
    <w:p>
      <w:pPr>
        <w:spacing w:after="160" w:line="300"/>
      </w:pPr>
      <w:r>
        <w:rPr>
          <w:color w:val="1B2436"/>
          <w:sz w:val="22"/>
          <w:szCs w:val="22"/>
        </w:rPr>
        <w:t xml:space="preserve">The collapsible Categories &amp; Criteria/Questions panel at the top of the page lists every active category (with its weight percent of the overall evaluation) and its criteria/questions, each with its own maximum score — a quick reference to keep every interview consistent.</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247900"/>
                    </a:xfrm>
                    <a:prstGeom prst="rect">
                      <a:avLst/>
                    </a:prstGeom>
                  </pic:spPr>
                </pic:pic>
              </a:graphicData>
            </a:graphic>
          </wp:inline>
        </w:drawing>
      </w:r>
    </w:p>
    <w:p>
      <w:pPr>
        <w:spacing w:after="260"/>
        <w:jc w:val="center"/>
      </w:pPr>
      <w:r>
        <w:rPr>
          <w:i/>
          <w:iCs/>
          <w:color w:val="5C6577"/>
          <w:sz w:val="18"/>
          <w:szCs w:val="18"/>
        </w:rPr>
        <w:t xml:space="preserve">Fig. 26 — Criteria reference — expand it before the interview starts</w:t>
      </w:r>
    </w:p>
    <w:p>
      <w:pPr>
        <w:pStyle w:val="Heading2"/>
        <w:spacing w:after="100" w:before="320"/>
      </w:pPr>
      <w:r>
        <w:rPr>
          <w:color w:val="0B3D78"/>
        </w:rPr>
        <w:t xml:space="preserve">Step 3 — Score the applicant</w:t>
      </w:r>
    </w:p>
    <w:p>
      <w:pPr>
        <w:spacing w:after="160" w:line="300"/>
      </w:pPr>
      <w:r>
        <w:rPr>
          <w:color w:val="1B2436"/>
          <w:sz w:val="22"/>
          <w:szCs w:val="22"/>
        </w:rPr>
        <w:t xml:space="preserve">Click Score on a row to open the form in place: one numeric field per active criterion, plus an optional remarks box. Every criterion needs a score before you can save — there's no partial submission.</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2247900"/>
                    </a:xfrm>
                    <a:prstGeom prst="rect">
                      <a:avLst/>
                    </a:prstGeom>
                  </pic:spPr>
                </pic:pic>
              </a:graphicData>
            </a:graphic>
          </wp:inline>
        </w:drawing>
      </w:r>
    </w:p>
    <w:p>
      <w:pPr>
        <w:spacing w:after="260"/>
        <w:jc w:val="center"/>
      </w:pPr>
      <w:r>
        <w:rPr>
          <w:i/>
          <w:iCs/>
          <w:color w:val="5C6577"/>
          <w:sz w:val="18"/>
          <w:szCs w:val="18"/>
        </w:rPr>
        <w:t xml:space="preserve">Fig. 27 — Scoring — one field per criterion, plus a remark</w:t>
      </w:r>
    </w:p>
    <w:p>
      <w:pPr>
        <w:pStyle w:val="Heading2"/>
        <w:spacing w:after="100" w:before="320"/>
      </w:pPr>
      <w:r>
        <w:rPr>
          <w:color w:val="0B3D78"/>
        </w:rPr>
        <w:t xml:space="preserve">Step 4 — Review your score summary</w:t>
      </w:r>
    </w:p>
    <w:p>
      <w:pPr>
        <w:spacing w:after="160" w:line="300"/>
      </w:pPr>
      <w:r>
        <w:rPr>
          <w:color w:val="1B2436"/>
          <w:sz w:val="22"/>
          <w:szCs w:val="22"/>
        </w:rPr>
        <w:t xml:space="preserve">The collapsible My Score Summary panel lists every applicant you've personally scored, with your own total for each — a private record of your own marks only, never another panelist's scores or the cross-panel average, which stays visible to admins alone.</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247900"/>
                    </a:xfrm>
                    <a:prstGeom prst="rect">
                      <a:avLst/>
                    </a:prstGeom>
                  </pic:spPr>
                </pic:pic>
              </a:graphicData>
            </a:graphic>
          </wp:inline>
        </w:drawing>
      </w:r>
    </w:p>
    <w:p>
      <w:pPr>
        <w:spacing w:after="260"/>
        <w:jc w:val="center"/>
      </w:pPr>
      <w:r>
        <w:rPr>
          <w:i/>
          <w:iCs/>
          <w:color w:val="5C6577"/>
          <w:sz w:val="18"/>
          <w:szCs w:val="18"/>
        </w:rPr>
        <w:t xml:space="preserve">Fig. 28 — Score summary — your own marks, and the row now reads Scored</w:t>
      </w:r>
    </w:p>
    <w:p>
      <w:pPr>
        <w:pStyle w:val="Heading2"/>
        <w:spacing w:after="100" w:before="320"/>
      </w:pPr>
      <w:r>
        <w:rPr>
          <w:color w:val="0B3D78"/>
        </w:rPr>
        <w:t xml:space="preserve">Step 5 — View an applicant's Personal Data Sheet</w:t>
      </w:r>
    </w:p>
    <w:p>
      <w:pPr>
        <w:spacing w:after="160" w:line="300"/>
      </w:pPr>
      <w:r>
        <w:rPr>
          <w:color w:val="1B2436"/>
          <w:sz w:val="22"/>
          <w:szCs w:val="22"/>
        </w:rPr>
        <w:t xml:space="preserve">View PDS opens the applicant's Personal Data Sheet — and only the PDS, both the PDF and Excel copies. No other document on their profile is visible to a panelist, and the button only works for applicants you're actually assigned to interview.</w:t>
      </w:r>
    </w:p>
    <w:p>
      <w:pPr>
        <w:pBdr>
          <w:top w:val="single" w:color="C3CBD8" w:sz="4"/>
          <w:bottom w:val="single" w:color="C3CBD8" w:sz="4"/>
          <w:left w:val="single" w:color="C3CBD8" w:sz="4"/>
          <w:right w:val="single" w:color="C3CBD8" w:sz="4"/>
        </w:pBdr>
        <w:spacing w:after="60" w:before="20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247900"/>
                    </a:xfrm>
                    <a:prstGeom prst="rect">
                      <a:avLst/>
                    </a:prstGeom>
                  </pic:spPr>
                </pic:pic>
              </a:graphicData>
            </a:graphic>
          </wp:inline>
        </w:drawing>
      </w:r>
    </w:p>
    <w:p>
      <w:pPr>
        <w:spacing w:after="260"/>
        <w:jc w:val="center"/>
      </w:pPr>
      <w:r>
        <w:rPr>
          <w:i/>
          <w:iCs/>
          <w:color w:val="5C6577"/>
          <w:sz w:val="18"/>
          <w:szCs w:val="18"/>
        </w:rPr>
        <w:t xml:space="preserve">Fig. 29 — View PDS — scoped to exactly the PDS, and only for applicants assigned to you</w:t>
      </w:r>
    </w:p>
    <w:p>
      <w:r>
        <w:br w:type="page"/>
      </w:r>
    </w:p>
    <w:p>
      <w:pPr>
        <w:pStyle w:val="Heading1"/>
        <w:spacing w:after="100"/>
      </w:pPr>
      <w:r>
        <w:t xml:space="preserve">Quick reference</w:t>
      </w:r>
    </w:p>
    <w:p>
      <w:pPr>
        <w:spacing w:after="160" w:line="300"/>
      </w:pPr>
      <w:r>
        <w:rPr>
          <w:color w:val="5C6577"/>
          <w:sz w:val="22"/>
          <w:szCs w:val="22"/>
        </w:rPr>
        <w:t xml:space="preserve">Where to find each role's home page once you're logged 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EF1F6" w:val="clear"/>
            <w:tcMar>
              <w:top w:type="dxa" w:w="100"/>
              <w:left w:type="dxa" w:w="120"/>
              <w:bottom w:type="dxa" w:w="100"/>
              <w:right w:type="dxa" w:w="120"/>
            </w:tcMar>
            <w:vAlign w:val="center"/>
          </w:tcPr>
          <w:p>
            <w:r>
              <w:rPr>
                <w:b/>
                <w:bCs/>
                <w:color w:val="0B3D78"/>
                <w:sz w:val="20"/>
                <w:szCs w:val="20"/>
              </w:rPr>
              <w:t xml:space="preserve">Role</w:t>
            </w:r>
          </w:p>
        </w:tc>
        <w:tc>
          <w:tcPr>
            <w:shd w:fill="EEF1F6" w:val="clear"/>
            <w:tcMar>
              <w:top w:type="dxa" w:w="100"/>
              <w:left w:type="dxa" w:w="120"/>
              <w:bottom w:type="dxa" w:w="100"/>
              <w:right w:type="dxa" w:w="120"/>
            </w:tcMar>
            <w:vAlign w:val="center"/>
          </w:tcPr>
          <w:p>
            <w:r>
              <w:rPr>
                <w:b/>
                <w:bCs/>
                <w:color w:val="0B3D78"/>
                <w:sz w:val="20"/>
                <w:szCs w:val="20"/>
              </w:rPr>
              <w:t xml:space="preserve">Landing page</w:t>
            </w:r>
          </w:p>
        </w:tc>
        <w:tc>
          <w:tcPr>
            <w:shd w:fill="EEF1F6" w:val="clear"/>
            <w:tcMar>
              <w:top w:type="dxa" w:w="100"/>
              <w:left w:type="dxa" w:w="120"/>
              <w:bottom w:type="dxa" w:w="100"/>
              <w:right w:type="dxa" w:w="120"/>
            </w:tcMar>
            <w:vAlign w:val="center"/>
          </w:tcPr>
          <w:p>
            <w:r>
              <w:rPr>
                <w:b/>
                <w:bCs/>
                <w:color w:val="0B3D78"/>
                <w:sz w:val="20"/>
                <w:szCs w:val="20"/>
              </w:rPr>
              <w:t xml:space="preserve">Path</w:t>
            </w:r>
          </w:p>
        </w:tc>
      </w:tr>
      <w:tr>
        <w:tc>
          <w:tcPr>
            <w:tcMar>
              <w:top w:type="dxa" w:w="100"/>
              <w:left w:type="dxa" w:w="120"/>
              <w:bottom w:type="dxa" w:w="100"/>
              <w:right w:type="dxa" w:w="120"/>
            </w:tcMar>
          </w:tcPr>
          <w:p>
            <w:r>
              <w:rPr>
                <w:color w:val="1B2436"/>
                <w:sz w:val="20"/>
                <w:szCs w:val="20"/>
              </w:rPr>
              <w:t xml:space="preserve">Applicant</w:t>
            </w:r>
          </w:p>
        </w:tc>
        <w:tc>
          <w:tcPr>
            <w:tcMar>
              <w:top w:type="dxa" w:w="100"/>
              <w:left w:type="dxa" w:w="120"/>
              <w:bottom w:type="dxa" w:w="100"/>
              <w:right w:type="dxa" w:w="120"/>
            </w:tcMar>
          </w:tcPr>
          <w:p>
            <w:r>
              <w:rPr>
                <w:color w:val="1B2436"/>
                <w:sz w:val="20"/>
                <w:szCs w:val="20"/>
              </w:rPr>
              <w:t xml:space="preserve">Job Postings</w:t>
            </w:r>
          </w:p>
        </w:tc>
        <w:tc>
          <w:tcPr>
            <w:tcMar>
              <w:top w:type="dxa" w:w="100"/>
              <w:left w:type="dxa" w:w="120"/>
              <w:bottom w:type="dxa" w:w="100"/>
              <w:right w:type="dxa" w:w="120"/>
            </w:tcMar>
          </w:tcPr>
          <w:p>
            <w:r>
              <w:rPr>
                <w:color w:val="1B2436"/>
                <w:sz w:val="20"/>
                <w:szCs w:val="20"/>
              </w:rPr>
              <w:t xml:space="preserve">/jobs</w:t>
            </w:r>
          </w:p>
        </w:tc>
      </w:tr>
      <w:tr>
        <w:tc>
          <w:tcPr>
            <w:tcMar>
              <w:top w:type="dxa" w:w="100"/>
              <w:left w:type="dxa" w:w="120"/>
              <w:bottom w:type="dxa" w:w="100"/>
              <w:right w:type="dxa" w:w="120"/>
            </w:tcMar>
          </w:tcPr>
          <w:p>
            <w:r>
              <w:rPr>
                <w:color w:val="1B2436"/>
                <w:sz w:val="20"/>
                <w:szCs w:val="20"/>
              </w:rPr>
              <w:t xml:space="preserve">Admin</w:t>
            </w:r>
          </w:p>
        </w:tc>
        <w:tc>
          <w:tcPr>
            <w:tcMar>
              <w:top w:type="dxa" w:w="100"/>
              <w:left w:type="dxa" w:w="120"/>
              <w:bottom w:type="dxa" w:w="100"/>
              <w:right w:type="dxa" w:w="120"/>
            </w:tcMar>
          </w:tcPr>
          <w:p>
            <w:r>
              <w:rPr>
                <w:color w:val="1B2436"/>
                <w:sz w:val="20"/>
                <w:szCs w:val="20"/>
              </w:rPr>
              <w:t xml:space="preserve">Dashboard</w:t>
            </w:r>
          </w:p>
        </w:tc>
        <w:tc>
          <w:tcPr>
            <w:tcMar>
              <w:top w:type="dxa" w:w="100"/>
              <w:left w:type="dxa" w:w="120"/>
              <w:bottom w:type="dxa" w:w="100"/>
              <w:right w:type="dxa" w:w="120"/>
            </w:tcMar>
          </w:tcPr>
          <w:p>
            <w:r>
              <w:rPr>
                <w:color w:val="1B2436"/>
                <w:sz w:val="20"/>
                <w:szCs w:val="20"/>
              </w:rPr>
              <w:t xml:space="preserve">/admin/dashboard</w:t>
            </w:r>
          </w:p>
        </w:tc>
      </w:tr>
      <w:tr>
        <w:tc>
          <w:tcPr>
            <w:tcMar>
              <w:top w:type="dxa" w:w="100"/>
              <w:left w:type="dxa" w:w="120"/>
              <w:bottom w:type="dxa" w:w="100"/>
              <w:right w:type="dxa" w:w="120"/>
            </w:tcMar>
          </w:tcPr>
          <w:p>
            <w:r>
              <w:rPr>
                <w:color w:val="1B2436"/>
                <w:sz w:val="20"/>
                <w:szCs w:val="20"/>
              </w:rPr>
              <w:t xml:space="preserve">Panel</w:t>
            </w:r>
          </w:p>
        </w:tc>
        <w:tc>
          <w:tcPr>
            <w:tcMar>
              <w:top w:type="dxa" w:w="100"/>
              <w:left w:type="dxa" w:w="120"/>
              <w:bottom w:type="dxa" w:w="100"/>
              <w:right w:type="dxa" w:w="120"/>
            </w:tcMar>
          </w:tcPr>
          <w:p>
            <w:r>
              <w:rPr>
                <w:color w:val="1B2436"/>
                <w:sz w:val="20"/>
                <w:szCs w:val="20"/>
              </w:rPr>
              <w:t xml:space="preserve">My Interviews</w:t>
            </w:r>
          </w:p>
        </w:tc>
        <w:tc>
          <w:tcPr>
            <w:tcMar>
              <w:top w:type="dxa" w:w="100"/>
              <w:left w:type="dxa" w:w="120"/>
              <w:bottom w:type="dxa" w:w="100"/>
              <w:right w:type="dxa" w:w="120"/>
            </w:tcMar>
          </w:tcPr>
          <w:p>
            <w:r>
              <w:rPr>
                <w:color w:val="1B2436"/>
                <w:sz w:val="20"/>
                <w:szCs w:val="20"/>
              </w:rPr>
              <w:t xml:space="preserve">/panel/interviews</w:t>
            </w:r>
          </w:p>
        </w:tc>
      </w:tr>
    </w:tbl>
    <w:p>
      <w:pPr>
        <w:pBdr>
          <w:top w:val="single" w:color="DBE1E8" w:sz="4"/>
        </w:pBdr>
        <w:spacing w:before="400"/>
      </w:pPr>
    </w:p>
    <w:p>
      <w:pPr>
        <w:spacing w:before="200"/>
      </w:pPr>
      <w:r>
        <w:rPr>
          <w:i/>
          <w:iCs/>
          <w:color w:val="5C6577"/>
          <w:sz w:val="18"/>
          <w:szCs w:val="18"/>
        </w:rPr>
        <w:t xml:space="preserve">This manual was compiled by walking a single test applicant through the full pipeline — registration, application, sifting, examination, panel scoring — on the live DILGR8RSP system, so every screen shown here reflects real, working behavior rather than a mockup. Menu labels and field names may be refined over time; the underlying steps in this manual will still apply.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b07b264f4b30872fc88e6a747b8d7795c982741.jpg"/><Relationship Id="rId8" Type="http://schemas.openxmlformats.org/officeDocument/2006/relationships/image" Target="media/3db7b6c72f1400b6cc8c2a8411cfe44af8505d7e.jpg"/><Relationship Id="rId9" Type="http://schemas.openxmlformats.org/officeDocument/2006/relationships/image" Target="media/655985f44e8cfbf5489acb4705bd09ad8590b71e.jpg"/><Relationship Id="rId10" Type="http://schemas.openxmlformats.org/officeDocument/2006/relationships/image" Target="media/6cc818d130c6080c3122f6d8b05d2f0a4d7788c0.jpg"/><Relationship Id="rId11" Type="http://schemas.openxmlformats.org/officeDocument/2006/relationships/image" Target="media/0c5186ce807d7bb3584ea68b76509632677ec9c8.jpg"/><Relationship Id="rId12" Type="http://schemas.openxmlformats.org/officeDocument/2006/relationships/image" Target="media/ba27c8810f7ce25a3fdad6a02dea503b6761a441.jpg"/><Relationship Id="rId13" Type="http://schemas.openxmlformats.org/officeDocument/2006/relationships/image" Target="media/a3efbc04aa323ec1676c970cdd45ace8b3530231.jpg"/><Relationship Id="rId14" Type="http://schemas.openxmlformats.org/officeDocument/2006/relationships/image" Target="media/e5d6ac315314fd7d77294d0fa534e3656d7c7e1f.jpg"/><Relationship Id="rId15" Type="http://schemas.openxmlformats.org/officeDocument/2006/relationships/image" Target="media/4166c4e1a273995e5d1f4004598ebb9e95c3df87.jpg"/><Relationship Id="rId16" Type="http://schemas.openxmlformats.org/officeDocument/2006/relationships/image" Target="media/f6534eb72fab197478561d0a90bb54f9b6900502.jpg"/><Relationship Id="rId17" Type="http://schemas.openxmlformats.org/officeDocument/2006/relationships/image" Target="media/65b2be51be597534579495f1c625aaec5bd0f839.jpg"/><Relationship Id="rId18" Type="http://schemas.openxmlformats.org/officeDocument/2006/relationships/image" Target="media/f84bb5d48f9bde5c27204753290edf824696ffde.jpg"/><Relationship Id="rId19" Type="http://schemas.openxmlformats.org/officeDocument/2006/relationships/image" Target="media/feb470c1235d42fa75a88c2b26ed9cb1f069d3e9.jpg"/><Relationship Id="rId20" Type="http://schemas.openxmlformats.org/officeDocument/2006/relationships/image" Target="media/b2047930287651f1b273e39b42d5cdd377e430a9.jpg"/><Relationship Id="rId21" Type="http://schemas.openxmlformats.org/officeDocument/2006/relationships/image" Target="media/880a3e0089e9bf3b88b9d9e45da62254819f43b8.jpg"/><Relationship Id="rId22" Type="http://schemas.openxmlformats.org/officeDocument/2006/relationships/image" Target="media/ded2b5d061bb4c8a13c68211d0cff42b7fed8ffd.jpg"/><Relationship Id="rId23" Type="http://schemas.openxmlformats.org/officeDocument/2006/relationships/image" Target="media/d146afbe51e11cb1d6f87124877d38a9e23d8cea.jpg"/><Relationship Id="rId24" Type="http://schemas.openxmlformats.org/officeDocument/2006/relationships/image" Target="media/44cc299e6dac99077899adde0185d05060bb1ce1.jpg"/><Relationship Id="rId25" Type="http://schemas.openxmlformats.org/officeDocument/2006/relationships/image" Target="media/9cb9748900728b93ac6ff83b83c61c55a02a5435.jpg"/><Relationship Id="rId26" Type="http://schemas.openxmlformats.org/officeDocument/2006/relationships/image" Target="media/3083e22068b7d7d3cfa8bd88b5dd8d074b628d8a.jpg"/><Relationship Id="rId27" Type="http://schemas.openxmlformats.org/officeDocument/2006/relationships/image" Target="media/1845d64c04e61c6d3cd4b9d05a0723fe9d0ad8e3.jpg"/><Relationship Id="rId28" Type="http://schemas.openxmlformats.org/officeDocument/2006/relationships/image" Target="media/1bbd67d75c090e120cb558d406eed58c79be3c78.jpg"/><Relationship Id="rId29" Type="http://schemas.openxmlformats.org/officeDocument/2006/relationships/image" Target="media/ae0009f5938c321a52cc2f09e27b090c1e3ebecd.jpg"/><Relationship Id="rId30" Type="http://schemas.openxmlformats.org/officeDocument/2006/relationships/image" Target="media/9e45db20a2d5aea12db619cadb77b8006ef4f26f.jpg"/><Relationship Id="rId31" Type="http://schemas.openxmlformats.org/officeDocument/2006/relationships/image" Target="media/9e4362d89e06f0be71b62d8a8840baa7cccf8e6f.jpg"/><Relationship Id="rId32" Type="http://schemas.openxmlformats.org/officeDocument/2006/relationships/image" Target="media/db728005bd9e34ac323894f6d8b0f49bec9a25d4.jpg"/><Relationship Id="rId33" Type="http://schemas.openxmlformats.org/officeDocument/2006/relationships/image" Target="media/e93b19504ceb12388cdde3caae6a02da7d7fa781.jpg"/><Relationship Id="rId34" Type="http://schemas.openxmlformats.org/officeDocument/2006/relationships/image" Target="media/6892f1f3a468d6c24c3714ed75cf5e34dcce5970.jpg"/><Relationship Id="rId35" Type="http://schemas.openxmlformats.org/officeDocument/2006/relationships/fontTable" Target="fontTable.xml"/><Relationship Id="rId36" Type="http://schemas.openxmlformats.org/officeDocument/2006/relationships/image" Target="media/manual-new-group-fig30.jpg"/><Relationship Id="rId37" Type="http://schemas.openxmlformats.org/officeDocument/2006/relationships/image" Target="media/manual-new-jobmgmt-fig31.jpg"/><Relationship Id="rId38" Type="http://schemas.openxmlformats.org/officeDocument/2006/relationships/image" Target="media/manual-new-compliance-fig32.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DILGR8RSP User Manual</dc:title>
  <dc:creator>DILGR8RSP</dc:creator>
  <dc:description>User manual for the DILGR8RSP recruitment, selection, and placement system.</dc:description>
  <cp:lastModifiedBy>Un-named</cp:lastModifiedBy>
  <cp:revision>1</cp:revision>
  <dcterms:created xsi:type="dcterms:W3CDTF">2026-08-12T13:38:16.512Z</dcterms:created>
  <dcterms:modified xsi:type="dcterms:W3CDTF">2026-08-12T13:38:16.513Z</dcterms:modified>
</cp:coreProperties>
</file>

<file path=docProps/custom.xml><?xml version="1.0" encoding="utf-8"?>
<Properties xmlns="http://schemas.openxmlformats.org/officeDocument/2006/custom-properties" xmlns:vt="http://schemas.openxmlformats.org/officeDocument/2006/docPropsVTypes"/>
</file>