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d272a070854c1c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Звіт для гаманця:Інвестиції</w:t>
      </w:r>
    </w:p>
    <w:p>
      <w:pPr>
        <w:pBdr>
          <w:bottom w:val="single" w:color="auto" w:sz="20" w:space="1"/>
        </w:pBdr>
      </w:pPr>
    </w:p>
    <w:p>
      <w:r>
        <w:rPr>
          <w:sz w:val="28"/>
        </w:rPr>
        <w:t>Wallet Name: Інвестиції</w:t>
      </w:r>
    </w:p>
    <w:p>
      <w:r>
        <w:rPr>
          <w:sz w:val="28"/>
        </w:rPr>
        <w:t>Баланс:25250</w:t>
      </w:r>
    </w:p>
    <w:p>
      <w:r>
        <w:rPr>
          <w:sz w:val="28"/>
        </w:rPr>
        <w:t>Загальні доходи:9750</w:t>
      </w:r>
    </w:p>
    <w:p>
      <w:r>
        <w:rPr>
          <w:sz w:val="28"/>
        </w:rPr>
        <w:t>Загальні витрати:15325</w:t>
      </w:r>
    </w:p>
    <w:p>
      <w:r>
        <w:rPr>
          <w:sz w:val="28"/>
        </w:rPr>
        <w:t>Період:01.01.2025 - 21.07.2025</w:t>
      </w:r>
    </w:p>
    <w:p>
      <w:pPr>
        <w:pBdr>
          <w:bottom w:val="double" w:color="auto" w:sz="40" w:space="10"/>
        </w:pBdr>
      </w:pPr>
    </w:p>
    <w:p>
      <w:r>
        <w:rPr>
          <w:b/>
          <w:sz w:val="32"/>
        </w:rPr>
        <w:t>Фінансові операції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jc w:val="center"/>
            </w:pPr>
            <w:r>
              <w:t>Ім'я</w:t>
            </w:r>
          </w:p>
        </w:tc>
        <w:tc>
          <w:p>
            <w:pPr>
              <w:jc w:val="center"/>
            </w:pPr>
            <w:r>
              <w:t>Прибуток</w:t>
            </w:r>
          </w:p>
        </w:tc>
        <w:tc>
          <w:p>
            <w:pPr>
              <w:jc w:val="center"/>
            </w:pPr>
            <w:r>
              <w:t>Кількість</w:t>
            </w:r>
          </w:p>
        </w:tc>
        <w:tc>
          <w:p>
            <w:pPr>
              <w:jc w:val="center"/>
            </w:pPr>
            <w:r>
              <w:t>Дата</w:t>
            </w:r>
          </w:p>
        </w:tc>
      </w:tr>
      <w:tr>
        <w:tc>
          <w:p>
            <w:pPr>
              <w:jc w:val="center"/>
            </w:pPr>
            <w:r>
              <w:t>Дивіденди</w:t>
            </w:r>
          </w:p>
        </w:tc>
        <w:tc>
          <w:p>
            <w:pPr>
              <w:jc w:val="center"/>
            </w:pPr>
            <w:r>
              <w:t>Так</w:t>
            </w:r>
          </w:p>
        </w:tc>
        <w:tc>
          <w:p>
            <w:pPr>
              <w:jc w:val="center"/>
            </w:pPr>
            <w:r>
              <w:t>+1000</w:t>
            </w:r>
          </w:p>
        </w:tc>
        <w:tc>
          <w:p>
            <w:pPr>
              <w:jc w:val="center"/>
            </w:pPr>
            <w:r>
              <w:t>15.05.2025</w:t>
            </w:r>
          </w:p>
        </w:tc>
      </w:tr>
      <w:tr>
        <w:tc>
          <w:p>
            <w:pPr>
              <w:jc w:val="center"/>
            </w:pPr>
            <w:r>
              <w:t>Покупка акцій</w:t>
            </w:r>
          </w:p>
        </w:tc>
        <w:tc>
          <w:p>
            <w:pPr>
              <w:jc w:val="center"/>
            </w:pPr>
            <w:r>
              <w:t>Ні</w:t>
            </w:r>
          </w:p>
        </w:tc>
        <w:tc>
          <w:p>
            <w:pPr>
              <w:jc w:val="center"/>
            </w:pPr>
            <w:r>
              <w:t>-5000</w:t>
            </w:r>
          </w:p>
        </w:tc>
        <w:tc>
          <w:p>
            <w:pPr>
              <w:jc w:val="center"/>
            </w:pPr>
            <w:r>
              <w:t>03.06.2025</w:t>
            </w:r>
          </w:p>
        </w:tc>
      </w:tr>
      <w:tr>
        <w:tc>
          <w:p>
            <w:pPr>
              <w:jc w:val="center"/>
            </w:pPr>
            <w:r>
              <w:t>Поповнення інвест. рахунку</w:t>
            </w:r>
          </w:p>
        </w:tc>
        <w:tc>
          <w:p>
            <w:pPr>
              <w:jc w:val="center"/>
            </w:pPr>
            <w:r>
              <w:t>Так</w:t>
            </w:r>
          </w:p>
        </w:tc>
        <w:tc>
          <w:p>
            <w:pPr>
              <w:jc w:val="center"/>
            </w:pPr>
            <w:r>
              <w:t>+3000</w:t>
            </w:r>
          </w:p>
        </w:tc>
        <w:tc>
          <w:p>
            <w:pPr>
              <w:jc w:val="center"/>
            </w:pPr>
            <w:r>
              <w:t>09.06.2025</w:t>
            </w:r>
          </w:p>
        </w:tc>
      </w:tr>
      <w:tr>
        <w:tc>
          <w:p>
            <w:pPr>
              <w:jc w:val="center"/>
            </w:pPr>
            <w:r>
              <w:t>Комісія брокера</w:t>
            </w:r>
          </w:p>
        </w:tc>
        <w:tc>
          <w:p>
            <w:pPr>
              <w:jc w:val="center"/>
            </w:pPr>
            <w:r>
              <w:t>Ні</w:t>
            </w:r>
          </w:p>
        </w:tc>
        <w:tc>
          <w:p>
            <w:pPr>
              <w:jc w:val="center"/>
            </w:pPr>
            <w:r>
              <w:t>-50</w:t>
            </w:r>
          </w:p>
        </w:tc>
        <w:tc>
          <w:p>
            <w:pPr>
              <w:jc w:val="center"/>
            </w:pPr>
            <w:r>
              <w:t>11.06.2025</w:t>
            </w:r>
          </w:p>
        </w:tc>
      </w:tr>
      <w:tr>
        <w:tc>
          <w:p>
            <w:pPr>
              <w:jc w:val="center"/>
            </w:pPr>
            <w:r>
              <w:t>Комісія брокера</w:t>
            </w:r>
          </w:p>
        </w:tc>
        <w:tc>
          <w:p>
            <w:pPr>
              <w:jc w:val="center"/>
            </w:pPr>
            <w:r>
              <w:t>Ні</w:t>
            </w:r>
          </w:p>
        </w:tc>
        <w:tc>
          <w:p>
            <w:pPr>
              <w:jc w:val="center"/>
            </w:pPr>
            <w:r>
              <w:t>-200</w:t>
            </w:r>
          </w:p>
        </w:tc>
        <w:tc>
          <w:p>
            <w:pPr>
              <w:jc w:val="center"/>
            </w:pPr>
            <w:r>
              <w:t>11.06.2025</w:t>
            </w:r>
          </w:p>
        </w:tc>
      </w:tr>
      <w:tr>
        <w:tc>
          <w:p>
            <w:pPr>
              <w:jc w:val="center"/>
            </w:pPr>
            <w:r>
              <w:t>Поповнення інвест. рахунку</w:t>
            </w:r>
          </w:p>
        </w:tc>
        <w:tc>
          <w:p>
            <w:pPr>
              <w:jc w:val="center"/>
            </w:pPr>
            <w:r>
              <w:t>Так</w:t>
            </w:r>
          </w:p>
        </w:tc>
        <w:tc>
          <w:p>
            <w:pPr>
              <w:jc w:val="center"/>
            </w:pPr>
            <w:r>
              <w:t>+5000</w:t>
            </w:r>
          </w:p>
        </w:tc>
        <w:tc>
          <w:p>
            <w:pPr>
              <w:jc w:val="center"/>
            </w:pPr>
            <w:r>
              <w:t>12.06.2025</w:t>
            </w:r>
          </w:p>
        </w:tc>
      </w:tr>
      <w:tr>
        <w:tc>
          <w:p>
            <w:pPr>
              <w:jc w:val="center"/>
            </w:pPr>
            <w:r>
              <w:t>Покупка акцій</w:t>
            </w:r>
          </w:p>
        </w:tc>
        <w:tc>
          <w:p>
            <w:pPr>
              <w:jc w:val="center"/>
            </w:pPr>
            <w:r>
              <w:t>Ні</w:t>
            </w:r>
          </w:p>
        </w:tc>
        <w:tc>
          <w:p>
            <w:pPr>
              <w:jc w:val="center"/>
            </w:pPr>
            <w:r>
              <w:t>-10000</w:t>
            </w:r>
          </w:p>
        </w:tc>
        <w:tc>
          <w:p>
            <w:pPr>
              <w:jc w:val="center"/>
            </w:pPr>
            <w:r>
              <w:t>12.06.2025</w:t>
            </w:r>
          </w:p>
        </w:tc>
      </w:tr>
      <w:tr>
        <w:tc>
          <w:p>
            <w:pPr>
              <w:jc w:val="center"/>
            </w:pPr>
            <w:r>
              <w:t>Дивіденди</w:t>
            </w:r>
          </w:p>
        </w:tc>
        <w:tc>
          <w:p>
            <w:pPr>
              <w:jc w:val="center"/>
            </w:pPr>
            <w:r>
              <w:t>Так</w:t>
            </w:r>
          </w:p>
        </w:tc>
        <w:tc>
          <w:p>
            <w:pPr>
              <w:jc w:val="center"/>
            </w:pPr>
            <w:r>
              <w:t>+750</w:t>
            </w:r>
          </w:p>
        </w:tc>
        <w:tc>
          <w:p>
            <w:pPr>
              <w:jc w:val="center"/>
            </w:pPr>
            <w:r>
              <w:t>13.06.2025</w:t>
            </w:r>
          </w:p>
        </w:tc>
      </w:tr>
      <w:tr>
        <w:tc>
          <w:p>
            <w:pPr>
              <w:jc w:val="center"/>
            </w:pPr>
            <w:r>
              <w:t>Комісія брокера</w:t>
            </w:r>
          </w:p>
        </w:tc>
        <w:tc>
          <w:p>
            <w:pPr>
              <w:jc w:val="center"/>
            </w:pPr>
            <w:r>
              <w:t>Ні</w:t>
            </w:r>
          </w:p>
        </w:tc>
        <w:tc>
          <w:p>
            <w:pPr>
              <w:jc w:val="center"/>
            </w:pPr>
            <w:r>
              <w:t>-75</w:t>
            </w:r>
          </w:p>
        </w:tc>
        <w:tc>
          <w:p>
            <w:pPr>
              <w:jc w:val="center"/>
            </w:pPr>
            <w:r>
              <w:t>13.06.2025</w:t>
            </w:r>
          </w:p>
        </w:tc>
      </w:tr>
    </w:tbl>
    <w:p>
      <w:pPr>
        <w:pBdr>
          <w:bottom w:val="single" w:color="auto" w:sz="20" w:space="1"/>
        </w:pBdr>
      </w:pPr>
    </w:p>
    <w:p>
      <w:r>
        <w:rPr>
          <w:b/>
          <w:sz w:val="32"/>
        </w:rPr>
        <w:t>Графіки</w:t>
      </w:r>
    </w:p>
    <w:p>
      <w:r>
        <w:drawing>
          <wp:inline xmlns:wp="http://schemas.openxmlformats.org/drawingml/2006/wordprocessingDrawing">
            <wp:extent cx="5486400" cy="3200400"/>
            <wp:effectExtent l="0" t="0" r="0" b="0"/>
            <wp:docPr id="1" name="Операційна схема"/>
            <wp:cNvGraphicFramePr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3b99f016e3b8443d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3b99f016e3b8443d" /></Relationships>
</file>

<file path=word/charts/chart1.xml><?xml version="1.0" encoding="utf-8"?>
<c:chartSpace xmlns:c="http://schemas.openxmlformats.org/drawingml/2006/chart">
  <c:lang val="uk-UA"/>
  <c:chart>
    <c:plotArea>
      <c:barChart>
        <c:barDir val="col"/>
        <c:grouping val="clustered"/>
        <c:varyColors val="0"/>
        <c:ser>
          <c:idx val="0"/>
          <c:order val="0"/>
          <c:tx>
            <c:v>Income</c:v>
          </c:tx>
          <c:dPt>
            <c:idx val="0"/>
            <c:spPr>
              <a:solidFill xmlns:a="http://schemas.openxmlformats.org/drawingml/2006/main">
                <a:srgbClr val="00B050"/>
              </a:solidFill>
            </c:spPr>
          </c:dPt>
          <c:dPt>
            <c:idx val="1"/>
            <c:spPr>
              <a:solidFill xmlns:a="http://schemas.openxmlformats.org/drawingml/2006/main">
                <a:srgbClr val="00B050"/>
              </a:solidFill>
            </c:spPr>
          </c:dPt>
          <c:dPt>
            <c:idx val="2"/>
            <c:spPr>
              <a:solidFill xmlns:a="http://schemas.openxmlformats.org/drawingml/2006/main">
                <a:srgbClr val="00B050"/>
              </a:solidFill>
            </c:spPr>
          </c:dPt>
          <c:dPt>
            <c:idx val="3"/>
            <c:spPr>
              <a:solidFill xmlns:a="http://schemas.openxmlformats.org/drawingml/2006/main">
                <a:srgbClr val="00B050"/>
              </a:solidFill>
            </c:spPr>
          </c:dPt>
          <c:cat>
            <c:strLit>
              <c:ptCount val="4"/>
              <c:pt idx="0">
                <c:v>15.05.2025</c:v>
              </c:pt>
              <c:pt idx="1">
                <c:v>09.06.2025</c:v>
              </c:pt>
              <c:pt idx="2">
                <c:v>12.06.2025</c:v>
              </c:pt>
              <c:pt idx="3">
                <c:v>13.06.2025</c:v>
              </c:pt>
            </c:strLit>
          </c:cat>
          <c:val>
            <c:numLit>
              <c:formatCode>General</c:formatCode>
              <c:ptCount val="4"/>
              <c:pt idx="0">
                <c:v>1000</c:v>
              </c:pt>
              <c:pt idx="1">
                <c:v>3000</c:v>
              </c:pt>
              <c:pt idx="2">
                <c:v>5000</c:v>
              </c:pt>
              <c:pt idx="3">
                <c:v>750</c:v>
              </c:pt>
            </c:numLit>
          </c:val>
        </c:ser>
        <c:ser>
          <c:idx val="1"/>
          <c:order val="1"/>
          <c:tx>
            <c:v>Expense</c:v>
          </c:tx>
          <c:dPt>
            <c:idx val="0"/>
            <c:spPr>
              <a:solidFill xmlns:a="http://schemas.openxmlformats.org/drawingml/2006/main">
                <a:srgbClr val="FF0000"/>
              </a:solidFill>
            </c:spPr>
          </c:dPt>
          <c:dPt>
            <c:idx val="1"/>
            <c:spPr>
              <a:solidFill xmlns:a="http://schemas.openxmlformats.org/drawingml/2006/main">
                <a:srgbClr val="FF0000"/>
              </a:solidFill>
            </c:spPr>
          </c:dPt>
          <c:dPt>
            <c:idx val="2"/>
            <c:spPr>
              <a:solidFill xmlns:a="http://schemas.openxmlformats.org/drawingml/2006/main">
                <a:srgbClr val="FF0000"/>
              </a:solidFill>
            </c:spPr>
          </c:dPt>
          <c:dPt>
            <c:idx val="3"/>
            <c:spPr>
              <a:solidFill xmlns:a="http://schemas.openxmlformats.org/drawingml/2006/main">
                <a:srgbClr val="FF0000"/>
              </a:solidFill>
            </c:spPr>
          </c:dPt>
          <c:dPt>
            <c:idx val="4"/>
            <c:spPr>
              <a:solidFill xmlns:a="http://schemas.openxmlformats.org/drawingml/2006/main">
                <a:srgbClr val="FF0000"/>
              </a:solidFill>
            </c:spPr>
          </c:dPt>
          <c:cat>
            <c:strLit>
              <c:ptCount val="5"/>
              <c:pt idx="0">
                <c:v>03.06.2025</c:v>
              </c:pt>
              <c:pt idx="1">
                <c:v>11.06.2025</c:v>
              </c:pt>
              <c:pt idx="2">
                <c:v>11.06.2025</c:v>
              </c:pt>
              <c:pt idx="3">
                <c:v>12.06.2025</c:v>
              </c:pt>
              <c:pt idx="4">
                <c:v>13.06.2025</c:v>
              </c:pt>
            </c:strLit>
          </c:cat>
          <c:val>
            <c:numLit>
              <c:formatCode>General</c:formatCode>
              <c:ptCount val="5"/>
              <c:pt idx="0">
                <c:v>5000</c:v>
              </c:pt>
              <c:pt idx="1">
                <c:v>50</c:v>
              </c:pt>
              <c:pt idx="2">
                <c:v>200</c:v>
              </c:pt>
              <c:pt idx="3">
                <c:v>10000</c:v>
              </c:pt>
              <c:pt idx="4">
                <c:v>75</c:v>
              </c:pt>
            </c:numLit>
          </c:val>
        </c:ser>
        <c:axId val="48650112"/>
        <c:axId val="48672768"/>
      </c:bar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#,##0.00" sourceLinked="1"/>
        <c:tickLblPos val="nextTo"/>
        <c:crossAx val="48650112"/>
        <c:crosses val="autoZero"/>
        <c:crossBetween val="between"/>
      </c:valAx>
    </c:plotArea>
    <c:legend>
      <c:legendPos val="r"/>
      <c:layout/>
    </c:legend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r>
              <a:t>Діаграма історії операцій</a:t>
            </a:r>
          </a:p>
        </c:rich>
      </c:tx>
      <c:overlay val="0"/>
    </c:title>
  </c:chart>
</c:chartSpace>
</file>