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onsolas" w:hAnsi="Consolas"/>
          <w:b/>
          <w:color w:val="0B6E7D"/>
          <w:sz w:val="22"/>
        </w:rPr>
        <w:t>GEN-Z DIGITAL STOREFRONT   ·   ISE_WE_0201_58</w:t>
      </w:r>
    </w:p>
    <w:p>
      <w:pPr>
        <w:jc w:val="center"/>
      </w:pPr>
      <w:r>
        <w:rPr>
          <w:b/>
          <w:color w:val="101820"/>
          <w:sz w:val="68"/>
        </w:rPr>
        <w:t>Entity-Relationship Diagram</w:t>
      </w:r>
    </w:p>
    <w:p>
      <w:pPr>
        <w:jc w:val="center"/>
      </w:pPr>
      <w:r>
        <w:rPr>
          <w:color w:val="55636F"/>
          <w:sz w:val="28"/>
        </w:rPr>
        <w:t>Full-Project Database Schema  ·  genz_digital_storefront</w:t>
      </w:r>
    </w:p>
    <w:p/>
    <w:p/>
    <w:p/>
    <w:p/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vAlign w:val="center"/>
          </w:tcPr>
          <w:p>
            <w:r>
              <w:rPr>
                <w:b/>
                <w:color w:val="55636F"/>
                <w:sz w:val="20"/>
              </w:rPr>
              <w:t>Project</w:t>
            </w:r>
          </w:p>
        </w:tc>
        <w:tc>
          <w:tcPr>
            <w:tcW w:type="dxa" w:w="7200"/>
            <w:vAlign w:val="center"/>
          </w:tcPr>
          <w:p>
            <w:r>
              <w:rPr>
                <w:color w:val="101820"/>
                <w:sz w:val="21"/>
              </w:rPr>
              <w:t>A Modern Digital Storefront for Gen-Z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b/>
                <w:color w:val="55636F"/>
                <w:sz w:val="20"/>
              </w:rPr>
              <w:t>Database</w:t>
            </w:r>
          </w:p>
        </w:tc>
        <w:tc>
          <w:tcPr>
            <w:tcW w:type="dxa" w:w="7200"/>
            <w:vAlign w:val="center"/>
          </w:tcPr>
          <w:p>
            <w:r>
              <w:rPr>
                <w:color w:val="101820"/>
                <w:sz w:val="21"/>
              </w:rPr>
              <w:t>genz_digital_storefront  (MySQL 8, InnoDB, utf8mb4)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b/>
                <w:color w:val="55636F"/>
                <w:sz w:val="20"/>
              </w:rPr>
              <w:t>Scope</w:t>
            </w:r>
          </w:p>
        </w:tc>
        <w:tc>
          <w:tcPr>
            <w:tcW w:type="dxa" w:w="7200"/>
            <w:vAlign w:val="center"/>
          </w:tcPr>
          <w:p>
            <w:r>
              <w:rPr>
                <w:color w:val="101820"/>
                <w:sz w:val="21"/>
              </w:rPr>
              <w:t>21 tables across 4 modules: EP-01, EP-02, EP-03, EP-04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b/>
                <w:color w:val="55636F"/>
                <w:sz w:val="20"/>
              </w:rPr>
              <w:t>Source of truth</w:t>
            </w:r>
          </w:p>
        </w:tc>
        <w:tc>
          <w:tcPr>
            <w:tcW w:type="dxa" w:w="7200"/>
            <w:vAlign w:val="center"/>
          </w:tcPr>
          <w:p>
            <w:r>
              <w:rPr>
                <w:color w:val="101820"/>
                <w:sz w:val="21"/>
              </w:rPr>
              <w:t>genz-backend/genz-backend/db/schema.sql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b/>
                <w:color w:val="55636F"/>
                <w:sz w:val="20"/>
              </w:rPr>
              <w:t>Team</w:t>
            </w:r>
          </w:p>
        </w:tc>
        <w:tc>
          <w:tcPr>
            <w:tcW w:type="dxa" w:w="7200"/>
            <w:vAlign w:val="center"/>
          </w:tcPr>
          <w:p>
            <w:r>
              <w:rPr>
                <w:color w:val="101820"/>
                <w:sz w:val="21"/>
              </w:rPr>
              <w:t>IT24101208 Warnakula S P (Scrum Master) · IT24101437 Sashorinth N · IT24103841 Razni Ahamed B S</w:t>
            </w:r>
          </w:p>
        </w:tc>
      </w:tr>
    </w:tbl>
    <w:p>
      <w:r>
        <w:br w:type="page"/>
      </w:r>
    </w:p>
    <w:p>
      <w:pPr>
        <w:pStyle w:val="Heading1"/>
      </w:pPr>
      <w:r>
        <w:t>How to Read This Diagram</w:t>
      </w:r>
    </w:p>
    <w:p>
      <w:r>
        <w:t>This diagram uses crow's-foot notation, the standard convention for relational entity-relationship diagrams. Every entity box, column, key and relationship shown is copied directly from the live database schema (db/schema.sql) — nothing here is a conceptual approximation drawn after the fact.</w:t>
      </w:r>
    </w:p>
    <w:p>
      <w:pPr>
        <w:pStyle w:val="Heading2"/>
      </w:pPr>
      <w:r>
        <w:t>Reading an entity box</w:t>
      </w:r>
    </w:p>
    <w:p>
      <w:pPr>
        <w:pStyle w:val="ListBullet"/>
      </w:pPr>
      <w:r>
        <w:t>The table name is the header.</w:t>
      </w:r>
    </w:p>
    <w:p>
      <w:pPr>
        <w:pStyle w:val="ListBullet"/>
      </w:pPr>
      <w:r>
        <w:t>PK marks the primary key column(s).</w:t>
      </w:r>
    </w:p>
    <w:p>
      <w:pPr>
        <w:pStyle w:val="ListBullet"/>
      </w:pPr>
      <w:r>
        <w:t>FK marks a foreign key column, with an outline instead of a solid fill.</w:t>
      </w:r>
    </w:p>
    <w:p>
      <w:pPr>
        <w:pStyle w:val="ListBullet"/>
      </w:pPr>
      <w:r>
        <w:t>PK/FK marks a column that is simultaneously the primary key and a foreign key — e.g. inventory_stock.product_id, a strict one-to-one relationship with products.</w:t>
      </w:r>
    </w:p>
    <w:p>
      <w:pPr>
        <w:pStyle w:val="ListBullet"/>
      </w:pPr>
      <w:r>
        <w:t>A small boxed letter beside a foreign key (e.g. “A”) marks a reference to a table in a different module — see the Cross-Module References table on page 4.</w:t>
      </w:r>
    </w:p>
    <w:p>
      <w:pPr>
        <w:pStyle w:val="ListBullet"/>
      </w:pPr>
      <w:r>
        <w:t>Italic text beneath the keys summarises the remaining columns and any notable rule.</w:t>
      </w:r>
    </w:p>
    <w:p>
      <w:pPr>
        <w:pStyle w:val="Heading2"/>
      </w:pPr>
      <w:r>
        <w:t>Reading a relationship line</w:t>
      </w:r>
    </w:p>
    <w:p>
      <w:pPr>
        <w:pStyle w:val="ListBullet"/>
      </w:pPr>
      <w:r>
        <w:t>A double tick ( ∥ ) sits at the “one” side of the relationship — the parent table, whose primary key is being referenced.</w:t>
      </w:r>
    </w:p>
    <w:p>
      <w:pPr>
        <w:pStyle w:val="ListBullet"/>
      </w:pPr>
      <w:r>
        <w:t>A crow's foot ( ⌓ ) sits at the “many” side — the child table, whose foreign key column points back to the parent.</w:t>
      </w:r>
    </w:p>
    <w:p>
      <w:pPr>
        <w:pStyle w:val="ListBullet"/>
      </w:pPr>
      <w:r>
        <w:t>A solid line means the foreign key is NOT NULL — every child row must reference a parent.</w:t>
      </w:r>
    </w:p>
    <w:p>
      <w:pPr>
        <w:pStyle w:val="ListBullet"/>
      </w:pPr>
      <w:r>
        <w:t>A dashed line, and a small circle before the crow's foot, mean the foreign key is nullable — the relationship is optional (e.g. carts.customer_id). The Actor Identity pattern — moderation_logs.actor_id is NULL precisely when the actor is Owner/Admin rather than a named Staff account — is a cross-module reference, listed in the Cross-Module References table.</w:t>
      </w:r>
    </w:p>
    <w:p>
      <w:r>
        <w:br w:type="page"/>
      </w:r>
    </w:p>
    <w:p>
      <w:pPr>
        <w:sectPr>
          <w:pgSz w:w="12240" w:h="15840"/>
          <w:pgMar w:top="1296" w:right="1440" w:bottom="1296" w:left="1440" w:header="720" w:footer="720" w:gutter="0"/>
          <w:cols w:space="720"/>
          <w:docGrid w:linePitch="360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44000" cy="44873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ll_e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487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5840" w:h="12240" w:orient="landscape"/>
          <w:pgMar w:top="648" w:right="720" w:bottom="648" w:left="720" w:header="720" w:footer="720" w:gutter="0"/>
          <w:cols w:space="720"/>
          <w:docGrid w:linePitch="360"/>
        </w:sectPr>
      </w:pPr>
    </w:p>
    <w:p>
      <w:pPr>
        <w:pStyle w:val="Heading1"/>
      </w:pPr>
      <w:r>
        <w:t>Cross-Module References</w:t>
      </w:r>
    </w:p>
    <w:p>
      <w:r>
        <w:t>Foreign keys that point at a table drawn in a different module are marked on the diagram with a small boxed letter rather than a long connecting line, to keep the diagram readable. They are listed here in full.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fill="101820"/>
          </w:tcPr>
          <w:p>
            <w:r>
              <w:rPr>
                <w:b/>
                <w:color w:val="FFFFFF"/>
              </w:rPr>
              <w:t>Referenced table</w:t>
            </w:r>
          </w:p>
        </w:tc>
        <w:tc>
          <w:tcPr>
            <w:tcW w:type="dxa" w:w="6624"/>
            <w:shd w:val="clear" w:fill="101820"/>
          </w:tcPr>
          <w:p>
            <w:r>
              <w:rPr>
                <w:b/>
                <w:color w:val="FFFFFF"/>
              </w:rPr>
              <w:t>Referenced by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b/>
                <w:sz w:val="20"/>
              </w:rPr>
              <w:t xml:space="preserve">products  </w:t>
            </w:r>
            <w:r>
              <w:rPr>
                <w:color w:val="55636F"/>
                <w:sz w:val="17"/>
              </w:rPr>
              <w:t>[A]</w:t>
            </w:r>
          </w:p>
        </w:tc>
        <w:tc>
          <w:tcPr>
            <w:tcW w:type="dxa" w:w="6624"/>
          </w:tcPr>
          <w:p>
            <w:r/>
            <w:r>
              <w:rPr>
                <w:rFonts w:ascii="Consolas" w:hAnsi="Consolas"/>
                <w:sz w:val="19"/>
              </w:rPr>
              <w:t>cart_items.product_id (B)</w:t>
            </w:r>
          </w:p>
          <w:p>
            <w:r>
              <w:rPr>
                <w:rFonts w:ascii="Consolas" w:hAnsi="Consolas"/>
                <w:sz w:val="19"/>
              </w:rPr>
              <w:t>order_items.product_id (B)</w:t>
            </w:r>
          </w:p>
          <w:p>
            <w:r>
              <w:rPr>
                <w:rFonts w:ascii="Consolas" w:hAnsi="Consolas"/>
                <w:sz w:val="19"/>
              </w:rPr>
              <w:t>reviews.product_id (C)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b/>
                <w:sz w:val="20"/>
              </w:rPr>
              <w:t xml:space="preserve">customers  </w:t>
            </w:r>
            <w:r>
              <w:rPr>
                <w:color w:val="55636F"/>
                <w:sz w:val="17"/>
              </w:rPr>
              <w:t>[B]</w:t>
            </w:r>
          </w:p>
        </w:tc>
        <w:tc>
          <w:tcPr>
            <w:tcW w:type="dxa" w:w="6624"/>
          </w:tcPr>
          <w:p>
            <w:r/>
            <w:r>
              <w:rPr>
                <w:rFonts w:ascii="Consolas" w:hAnsi="Consolas"/>
                <w:sz w:val="19"/>
              </w:rPr>
              <w:t>carts.customer_id (B)</w:t>
            </w:r>
          </w:p>
          <w:p>
            <w:r>
              <w:rPr>
                <w:rFonts w:ascii="Consolas" w:hAnsi="Consolas"/>
                <w:sz w:val="19"/>
              </w:rPr>
              <w:t>orders.customer_id (B)</w:t>
            </w:r>
          </w:p>
          <w:p>
            <w:r>
              <w:rPr>
                <w:rFonts w:ascii="Consolas" w:hAnsi="Consolas"/>
                <w:sz w:val="19"/>
              </w:rPr>
              <w:t>reviews.customer_id (C)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b/>
                <w:sz w:val="20"/>
              </w:rPr>
              <w:t xml:space="preserve">orders  </w:t>
            </w:r>
            <w:r>
              <w:rPr>
                <w:color w:val="55636F"/>
                <w:sz w:val="17"/>
              </w:rPr>
              <w:t>[B]</w:t>
            </w:r>
          </w:p>
        </w:tc>
        <w:tc>
          <w:tcPr>
            <w:tcW w:type="dxa" w:w="6624"/>
          </w:tcPr>
          <w:p>
            <w:r/>
            <w:r>
              <w:rPr>
                <w:rFonts w:ascii="Consolas" w:hAnsi="Consolas"/>
                <w:sz w:val="19"/>
              </w:rPr>
              <w:t>deliveries.order_id (C)</w:t>
            </w:r>
          </w:p>
          <w:p>
            <w:r>
              <w:rPr>
                <w:rFonts w:ascii="Consolas" w:hAnsi="Consolas"/>
                <w:sz w:val="19"/>
              </w:rPr>
              <w:t>reviews.order_id (C)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b/>
                <w:sz w:val="20"/>
              </w:rPr>
              <w:t xml:space="preserve">staff_admin_users  </w:t>
            </w:r>
            <w:r>
              <w:rPr>
                <w:color w:val="55636F"/>
                <w:sz w:val="17"/>
              </w:rPr>
              <w:t>[D]</w:t>
            </w:r>
          </w:p>
        </w:tc>
        <w:tc>
          <w:tcPr>
            <w:tcW w:type="dxa" w:w="6624"/>
          </w:tcPr>
          <w:p>
            <w:r/>
            <w:r>
              <w:rPr>
                <w:rFonts w:ascii="Consolas" w:hAnsi="Consolas"/>
                <w:sz w:val="19"/>
              </w:rPr>
              <w:t>moderation_logs.actor_id (C)</w:t>
            </w:r>
          </w:p>
        </w:tc>
      </w:tr>
    </w:tbl>
    <w:p/>
    <w:p>
      <w:pPr>
        <w:pStyle w:val="Heading1"/>
      </w:pPr>
      <w:r>
        <w:t>All 21 Tables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792"/>
            <w:shd w:val="clear" w:fill="101820"/>
          </w:tcPr>
          <w:p>
            <w:r>
              <w:rPr>
                <w:b/>
                <w:color w:val="FFFFFF"/>
              </w:rPr>
              <w:t>Mod</w:t>
            </w:r>
          </w:p>
        </w:tc>
        <w:tc>
          <w:tcPr>
            <w:tcW w:type="dxa" w:w="2736"/>
            <w:shd w:val="clear" w:fill="101820"/>
          </w:tcPr>
          <w:p>
            <w:r>
              <w:rPr>
                <w:b/>
                <w:color w:val="FFFFFF"/>
              </w:rPr>
              <w:t>Table</w:t>
            </w:r>
          </w:p>
        </w:tc>
        <w:tc>
          <w:tcPr>
            <w:tcW w:type="dxa" w:w="5976"/>
            <w:shd w:val="clear" w:fill="101820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792"/>
          </w:tcPr>
          <w:p>
            <w:r>
              <w:rPr>
                <w:b/>
                <w:color w:val="0B6E7D"/>
                <w:sz w:val="19"/>
              </w:rPr>
              <w:t>A</w:t>
            </w:r>
          </w:p>
        </w:tc>
        <w:tc>
          <w:tcPr>
            <w:tcW w:type="dxa" w:w="2736"/>
          </w:tcPr>
          <w:p>
            <w:r>
              <w:rPr>
                <w:rFonts w:ascii="Consolas" w:hAnsi="Consolas"/>
                <w:sz w:val="19"/>
              </w:rPr>
              <w:t>categories</w:t>
            </w:r>
          </w:p>
        </w:tc>
        <w:tc>
          <w:tcPr>
            <w:tcW w:type="dxa" w:w="5976"/>
          </w:tcPr>
          <w:p>
            <w:r>
              <w:rPr>
                <w:color w:val="55636F"/>
                <w:sz w:val="19"/>
              </w:rPr>
              <w:t>Product categories (men's clothing, boys' clothing, perfumes)</w:t>
            </w:r>
          </w:p>
        </w:tc>
      </w:tr>
      <w:tr>
        <w:tc>
          <w:tcPr>
            <w:tcW w:type="dxa" w:w="792"/>
          </w:tcPr>
          <w:p>
            <w:r>
              <w:rPr>
                <w:b/>
                <w:color w:val="0B6E7D"/>
                <w:sz w:val="19"/>
              </w:rPr>
              <w:t>A</w:t>
            </w:r>
          </w:p>
        </w:tc>
        <w:tc>
          <w:tcPr>
            <w:tcW w:type="dxa" w:w="2736"/>
          </w:tcPr>
          <w:p>
            <w:r>
              <w:rPr>
                <w:rFonts w:ascii="Consolas" w:hAnsi="Consolas"/>
                <w:sz w:val="19"/>
              </w:rPr>
              <w:t>products</w:t>
            </w:r>
          </w:p>
        </w:tc>
        <w:tc>
          <w:tcPr>
            <w:tcW w:type="dxa" w:w="5976"/>
          </w:tcPr>
          <w:p>
            <w:r>
              <w:rPr>
                <w:color w:val="55636F"/>
                <w:sz w:val="19"/>
              </w:rPr>
              <w:t>The product catalogue</w:t>
            </w:r>
          </w:p>
        </w:tc>
      </w:tr>
      <w:tr>
        <w:tc>
          <w:tcPr>
            <w:tcW w:type="dxa" w:w="792"/>
          </w:tcPr>
          <w:p>
            <w:r>
              <w:rPr>
                <w:b/>
                <w:color w:val="0B6E7D"/>
                <w:sz w:val="19"/>
              </w:rPr>
              <w:t>A</w:t>
            </w:r>
          </w:p>
        </w:tc>
        <w:tc>
          <w:tcPr>
            <w:tcW w:type="dxa" w:w="2736"/>
          </w:tcPr>
          <w:p>
            <w:r>
              <w:rPr>
                <w:rFonts w:ascii="Consolas" w:hAnsi="Consolas"/>
                <w:sz w:val="19"/>
              </w:rPr>
              <w:t>inventory_stock</w:t>
            </w:r>
          </w:p>
        </w:tc>
        <w:tc>
          <w:tcPr>
            <w:tcW w:type="dxa" w:w="5976"/>
          </w:tcPr>
          <w:p>
            <w:r>
              <w:rPr>
                <w:color w:val="55636F"/>
                <w:sz w:val="19"/>
              </w:rPr>
              <w:t>Per-product stock quantity; availability_status is a generated column</w:t>
            </w:r>
          </w:p>
        </w:tc>
      </w:tr>
      <w:tr>
        <w:tc>
          <w:tcPr>
            <w:tcW w:type="dxa" w:w="792"/>
          </w:tcPr>
          <w:p>
            <w:r>
              <w:rPr>
                <w:b/>
                <w:color w:val="0B6E7D"/>
                <w:sz w:val="19"/>
              </w:rPr>
              <w:t>A</w:t>
            </w:r>
          </w:p>
        </w:tc>
        <w:tc>
          <w:tcPr>
            <w:tcW w:type="dxa" w:w="2736"/>
          </w:tcPr>
          <w:p>
            <w:r>
              <w:rPr>
                <w:rFonts w:ascii="Consolas" w:hAnsi="Consolas"/>
                <w:sz w:val="19"/>
              </w:rPr>
              <w:t>product_images</w:t>
            </w:r>
          </w:p>
        </w:tc>
        <w:tc>
          <w:tcPr>
            <w:tcW w:type="dxa" w:w="5976"/>
          </w:tcPr>
          <w:p>
            <w:r>
              <w:rPr>
                <w:color w:val="55636F"/>
                <w:sz w:val="19"/>
              </w:rPr>
              <w:t>Image references attached to a product</w:t>
            </w:r>
          </w:p>
        </w:tc>
      </w:tr>
      <w:tr>
        <w:tc>
          <w:tcPr>
            <w:tcW w:type="dxa" w:w="792"/>
          </w:tcPr>
          <w:p>
            <w:r>
              <w:rPr>
                <w:b/>
                <w:color w:val="0B6E7D"/>
                <w:sz w:val="19"/>
              </w:rPr>
              <w:t>D</w:t>
            </w:r>
          </w:p>
        </w:tc>
        <w:tc>
          <w:tcPr>
            <w:tcW w:type="dxa" w:w="2736"/>
          </w:tcPr>
          <w:p>
            <w:r>
              <w:rPr>
                <w:rFonts w:ascii="Consolas" w:hAnsi="Consolas"/>
                <w:sz w:val="19"/>
              </w:rPr>
              <w:t>roles</w:t>
            </w:r>
          </w:p>
        </w:tc>
        <w:tc>
          <w:tcPr>
            <w:tcW w:type="dxa" w:w="5976"/>
          </w:tcPr>
          <w:p>
            <w:r>
              <w:rPr>
                <w:color w:val="55636F"/>
                <w:sz w:val="19"/>
              </w:rPr>
              <w:t>Named roles assignable to Staff accounts</w:t>
            </w:r>
          </w:p>
        </w:tc>
      </w:tr>
      <w:tr>
        <w:tc>
          <w:tcPr>
            <w:tcW w:type="dxa" w:w="792"/>
          </w:tcPr>
          <w:p>
            <w:r>
              <w:rPr>
                <w:b/>
                <w:color w:val="0B6E7D"/>
                <w:sz w:val="19"/>
              </w:rPr>
              <w:t>D</w:t>
            </w:r>
          </w:p>
        </w:tc>
        <w:tc>
          <w:tcPr>
            <w:tcW w:type="dxa" w:w="2736"/>
          </w:tcPr>
          <w:p>
            <w:r>
              <w:rPr>
                <w:rFonts w:ascii="Consolas" w:hAnsi="Consolas"/>
                <w:sz w:val="19"/>
              </w:rPr>
              <w:t>permissions</w:t>
            </w:r>
          </w:p>
        </w:tc>
        <w:tc>
          <w:tcPr>
            <w:tcW w:type="dxa" w:w="5976"/>
          </w:tcPr>
          <w:p>
            <w:r>
              <w:rPr>
                <w:color w:val="55636F"/>
                <w:sz w:val="19"/>
              </w:rPr>
              <w:t>Named permissions checked by requirePermission()</w:t>
            </w:r>
          </w:p>
        </w:tc>
      </w:tr>
      <w:tr>
        <w:tc>
          <w:tcPr>
            <w:tcW w:type="dxa" w:w="792"/>
          </w:tcPr>
          <w:p>
            <w:r>
              <w:rPr>
                <w:b/>
                <w:color w:val="0B6E7D"/>
                <w:sz w:val="19"/>
              </w:rPr>
              <w:t>D</w:t>
            </w:r>
          </w:p>
        </w:tc>
        <w:tc>
          <w:tcPr>
            <w:tcW w:type="dxa" w:w="2736"/>
          </w:tcPr>
          <w:p>
            <w:r>
              <w:rPr>
                <w:rFonts w:ascii="Consolas" w:hAnsi="Consolas"/>
                <w:sz w:val="19"/>
              </w:rPr>
              <w:t>role_permissions</w:t>
            </w:r>
          </w:p>
        </w:tc>
        <w:tc>
          <w:tcPr>
            <w:tcW w:type="dxa" w:w="5976"/>
          </w:tcPr>
          <w:p>
            <w:r>
              <w:rPr>
                <w:color w:val="55636F"/>
                <w:sz w:val="19"/>
              </w:rPr>
              <w:t>Junction table: which permissions each role has</w:t>
            </w:r>
          </w:p>
        </w:tc>
      </w:tr>
      <w:tr>
        <w:tc>
          <w:tcPr>
            <w:tcW w:type="dxa" w:w="792"/>
          </w:tcPr>
          <w:p>
            <w:r>
              <w:rPr>
                <w:b/>
                <w:color w:val="0B6E7D"/>
                <w:sz w:val="19"/>
              </w:rPr>
              <w:t>D</w:t>
            </w:r>
          </w:p>
        </w:tc>
        <w:tc>
          <w:tcPr>
            <w:tcW w:type="dxa" w:w="2736"/>
          </w:tcPr>
          <w:p>
            <w:r>
              <w:rPr>
                <w:rFonts w:ascii="Consolas" w:hAnsi="Consolas"/>
                <w:sz w:val="19"/>
              </w:rPr>
              <w:t>staff_admin_users</w:t>
            </w:r>
          </w:p>
        </w:tc>
        <w:tc>
          <w:tcPr>
            <w:tcW w:type="dxa" w:w="5976"/>
          </w:tcPr>
          <w:p>
            <w:r>
              <w:rPr>
                <w:color w:val="55636F"/>
                <w:sz w:val="19"/>
              </w:rPr>
              <w:t>Staff/Admin accounts (login not yet implemented)</w:t>
            </w:r>
          </w:p>
        </w:tc>
      </w:tr>
      <w:tr>
        <w:tc>
          <w:tcPr>
            <w:tcW w:type="dxa" w:w="792"/>
          </w:tcPr>
          <w:p>
            <w:r>
              <w:rPr>
                <w:b/>
                <w:color w:val="0B6E7D"/>
                <w:sz w:val="19"/>
              </w:rPr>
              <w:t>D</w:t>
            </w:r>
          </w:p>
        </w:tc>
        <w:tc>
          <w:tcPr>
            <w:tcW w:type="dxa" w:w="2736"/>
          </w:tcPr>
          <w:p>
            <w:r>
              <w:rPr>
                <w:rFonts w:ascii="Consolas" w:hAnsi="Consolas"/>
                <w:sz w:val="19"/>
              </w:rPr>
              <w:t>store_settings</w:t>
            </w:r>
          </w:p>
        </w:tc>
        <w:tc>
          <w:tcPr>
            <w:tcW w:type="dxa" w:w="5976"/>
          </w:tcPr>
          <w:p>
            <w:r>
              <w:rPr>
                <w:color w:val="55636F"/>
                <w:sz w:val="19"/>
              </w:rPr>
              <w:t>Singleton row: store name, contact info, WhatsApp number</w:t>
            </w:r>
          </w:p>
        </w:tc>
      </w:tr>
      <w:tr>
        <w:tc>
          <w:tcPr>
            <w:tcW w:type="dxa" w:w="792"/>
          </w:tcPr>
          <w:p>
            <w:r>
              <w:rPr>
                <w:b/>
                <w:color w:val="0B6E7D"/>
                <w:sz w:val="19"/>
              </w:rPr>
              <w:t>D</w:t>
            </w:r>
          </w:p>
        </w:tc>
        <w:tc>
          <w:tcPr>
            <w:tcW w:type="dxa" w:w="2736"/>
          </w:tcPr>
          <w:p>
            <w:r>
              <w:rPr>
                <w:rFonts w:ascii="Consolas" w:hAnsi="Consolas"/>
                <w:sz w:val="19"/>
              </w:rPr>
              <w:t>admin_access_key</w:t>
            </w:r>
          </w:p>
        </w:tc>
        <w:tc>
          <w:tcPr>
            <w:tcW w:type="dxa" w:w="5976"/>
          </w:tcPr>
          <w:p>
            <w:r>
              <w:rPr>
                <w:color w:val="55636F"/>
                <w:sz w:val="19"/>
              </w:rPr>
              <w:t>Singleton row: hashed Owner/Admin access key</w:t>
            </w:r>
          </w:p>
        </w:tc>
      </w:tr>
      <w:tr>
        <w:tc>
          <w:tcPr>
            <w:tcW w:type="dxa" w:w="792"/>
          </w:tcPr>
          <w:p>
            <w:r>
              <w:rPr>
                <w:b/>
                <w:color w:val="0B6E7D"/>
                <w:sz w:val="19"/>
              </w:rPr>
              <w:t>D</w:t>
            </w:r>
          </w:p>
        </w:tc>
        <w:tc>
          <w:tcPr>
            <w:tcW w:type="dxa" w:w="2736"/>
          </w:tcPr>
          <w:p>
            <w:r>
              <w:rPr>
                <w:rFonts w:ascii="Consolas" w:hAnsi="Consolas"/>
                <w:sz w:val="19"/>
              </w:rPr>
              <w:t>activity_log</w:t>
            </w:r>
          </w:p>
        </w:tc>
        <w:tc>
          <w:tcPr>
            <w:tcW w:type="dxa" w:w="5976"/>
          </w:tcPr>
          <w:p>
            <w:r>
              <w:rPr>
                <w:color w:val="55636F"/>
                <w:sz w:val="19"/>
              </w:rPr>
              <w:t>Central audit trail written by every module</w:t>
            </w:r>
          </w:p>
        </w:tc>
      </w:tr>
      <w:tr>
        <w:tc>
          <w:tcPr>
            <w:tcW w:type="dxa" w:w="792"/>
          </w:tcPr>
          <w:p>
            <w:r>
              <w:rPr>
                <w:b/>
                <w:color w:val="0B6E7D"/>
                <w:sz w:val="19"/>
              </w:rPr>
              <w:t>B</w:t>
            </w:r>
          </w:p>
        </w:tc>
        <w:tc>
          <w:tcPr>
            <w:tcW w:type="dxa" w:w="2736"/>
          </w:tcPr>
          <w:p>
            <w:r>
              <w:rPr>
                <w:rFonts w:ascii="Consolas" w:hAnsi="Consolas"/>
                <w:sz w:val="19"/>
              </w:rPr>
              <w:t>customers</w:t>
            </w:r>
          </w:p>
        </w:tc>
        <w:tc>
          <w:tcPr>
            <w:tcW w:type="dxa" w:w="5976"/>
          </w:tcPr>
          <w:p>
            <w:r>
              <w:rPr>
                <w:color w:val="55636F"/>
                <w:sz w:val="19"/>
              </w:rPr>
              <w:t>Customer accounts</w:t>
            </w:r>
          </w:p>
        </w:tc>
      </w:tr>
      <w:tr>
        <w:tc>
          <w:tcPr>
            <w:tcW w:type="dxa" w:w="792"/>
          </w:tcPr>
          <w:p>
            <w:r>
              <w:rPr>
                <w:b/>
                <w:color w:val="0B6E7D"/>
                <w:sz w:val="19"/>
              </w:rPr>
              <w:t>B</w:t>
            </w:r>
          </w:p>
        </w:tc>
        <w:tc>
          <w:tcPr>
            <w:tcW w:type="dxa" w:w="2736"/>
          </w:tcPr>
          <w:p>
            <w:r>
              <w:rPr>
                <w:rFonts w:ascii="Consolas" w:hAnsi="Consolas"/>
                <w:sz w:val="19"/>
              </w:rPr>
              <w:t>carts</w:t>
            </w:r>
          </w:p>
        </w:tc>
        <w:tc>
          <w:tcPr>
            <w:tcW w:type="dxa" w:w="5976"/>
          </w:tcPr>
          <w:p>
            <w:r>
              <w:rPr>
                <w:color w:val="55636F"/>
                <w:sz w:val="19"/>
              </w:rPr>
              <w:t>One active cart per customer</w:t>
            </w:r>
          </w:p>
        </w:tc>
      </w:tr>
      <w:tr>
        <w:tc>
          <w:tcPr>
            <w:tcW w:type="dxa" w:w="792"/>
          </w:tcPr>
          <w:p>
            <w:r>
              <w:rPr>
                <w:b/>
                <w:color w:val="0B6E7D"/>
                <w:sz w:val="19"/>
              </w:rPr>
              <w:t>B</w:t>
            </w:r>
          </w:p>
        </w:tc>
        <w:tc>
          <w:tcPr>
            <w:tcW w:type="dxa" w:w="2736"/>
          </w:tcPr>
          <w:p>
            <w:r>
              <w:rPr>
                <w:rFonts w:ascii="Consolas" w:hAnsi="Consolas"/>
                <w:sz w:val="19"/>
              </w:rPr>
              <w:t>cart_items</w:t>
            </w:r>
          </w:p>
        </w:tc>
        <w:tc>
          <w:tcPr>
            <w:tcW w:type="dxa" w:w="5976"/>
          </w:tcPr>
          <w:p>
            <w:r>
              <w:rPr>
                <w:color w:val="55636F"/>
                <w:sz w:val="19"/>
              </w:rPr>
              <w:t>Line items in a cart</w:t>
            </w:r>
          </w:p>
        </w:tc>
      </w:tr>
      <w:tr>
        <w:tc>
          <w:tcPr>
            <w:tcW w:type="dxa" w:w="792"/>
          </w:tcPr>
          <w:p>
            <w:r>
              <w:rPr>
                <w:b/>
                <w:color w:val="0B6E7D"/>
                <w:sz w:val="19"/>
              </w:rPr>
              <w:t>B</w:t>
            </w:r>
          </w:p>
        </w:tc>
        <w:tc>
          <w:tcPr>
            <w:tcW w:type="dxa" w:w="2736"/>
          </w:tcPr>
          <w:p>
            <w:r>
              <w:rPr>
                <w:rFonts w:ascii="Consolas" w:hAnsi="Consolas"/>
                <w:sz w:val="19"/>
              </w:rPr>
              <w:t>orders</w:t>
            </w:r>
          </w:p>
        </w:tc>
        <w:tc>
          <w:tcPr>
            <w:tcW w:type="dxa" w:w="5976"/>
          </w:tcPr>
          <w:p>
            <w:r>
              <w:rPr>
                <w:color w:val="55636F"/>
                <w:sz w:val="19"/>
              </w:rPr>
              <w:t>Customer orders, Pending through Cancelled</w:t>
            </w:r>
          </w:p>
        </w:tc>
      </w:tr>
      <w:tr>
        <w:tc>
          <w:tcPr>
            <w:tcW w:type="dxa" w:w="792"/>
          </w:tcPr>
          <w:p>
            <w:r>
              <w:rPr>
                <w:b/>
                <w:color w:val="0B6E7D"/>
                <w:sz w:val="19"/>
              </w:rPr>
              <w:t>B</w:t>
            </w:r>
          </w:p>
        </w:tc>
        <w:tc>
          <w:tcPr>
            <w:tcW w:type="dxa" w:w="2736"/>
          </w:tcPr>
          <w:p>
            <w:r>
              <w:rPr>
                <w:rFonts w:ascii="Consolas" w:hAnsi="Consolas"/>
                <w:sz w:val="19"/>
              </w:rPr>
              <w:t>order_items</w:t>
            </w:r>
          </w:p>
        </w:tc>
        <w:tc>
          <w:tcPr>
            <w:tcW w:type="dxa" w:w="5976"/>
          </w:tcPr>
          <w:p>
            <w:r>
              <w:rPr>
                <w:color w:val="55636F"/>
                <w:sz w:val="19"/>
              </w:rPr>
              <w:t>Line items in an order; price frozen at checkout</w:t>
            </w:r>
          </w:p>
        </w:tc>
      </w:tr>
      <w:tr>
        <w:tc>
          <w:tcPr>
            <w:tcW w:type="dxa" w:w="792"/>
          </w:tcPr>
          <w:p>
            <w:r>
              <w:rPr>
                <w:b/>
                <w:color w:val="0B6E7D"/>
                <w:sz w:val="19"/>
              </w:rPr>
              <w:t>B</w:t>
            </w:r>
          </w:p>
        </w:tc>
        <w:tc>
          <w:tcPr>
            <w:tcW w:type="dxa" w:w="2736"/>
          </w:tcPr>
          <w:p>
            <w:r>
              <w:rPr>
                <w:rFonts w:ascii="Consolas" w:hAnsi="Consolas"/>
                <w:sz w:val="19"/>
              </w:rPr>
              <w:t>order_status_history</w:t>
            </w:r>
          </w:p>
        </w:tc>
        <w:tc>
          <w:tcPr>
            <w:tcW w:type="dxa" w:w="5976"/>
          </w:tcPr>
          <w:p>
            <w:r>
              <w:rPr>
                <w:color w:val="55636F"/>
                <w:sz w:val="19"/>
              </w:rPr>
              <w:t>Audit trail of order status transitions</w:t>
            </w:r>
          </w:p>
        </w:tc>
      </w:tr>
      <w:tr>
        <w:tc>
          <w:tcPr>
            <w:tcW w:type="dxa" w:w="792"/>
          </w:tcPr>
          <w:p>
            <w:r>
              <w:rPr>
                <w:b/>
                <w:color w:val="0B6E7D"/>
                <w:sz w:val="19"/>
              </w:rPr>
              <w:t>C</w:t>
            </w:r>
          </w:p>
        </w:tc>
        <w:tc>
          <w:tcPr>
            <w:tcW w:type="dxa" w:w="2736"/>
          </w:tcPr>
          <w:p>
            <w:r>
              <w:rPr>
                <w:rFonts w:ascii="Consolas" w:hAnsi="Consolas"/>
                <w:sz w:val="19"/>
              </w:rPr>
              <w:t>deliveries</w:t>
            </w:r>
          </w:p>
        </w:tc>
        <w:tc>
          <w:tcPr>
            <w:tcW w:type="dxa" w:w="5976"/>
          </w:tcPr>
          <w:p>
            <w:r>
              <w:rPr>
                <w:color w:val="55636F"/>
                <w:sz w:val="19"/>
              </w:rPr>
              <w:t>One delivery per order, tracked through 6 statuses</w:t>
            </w:r>
          </w:p>
        </w:tc>
      </w:tr>
      <w:tr>
        <w:tc>
          <w:tcPr>
            <w:tcW w:type="dxa" w:w="792"/>
          </w:tcPr>
          <w:p>
            <w:r>
              <w:rPr>
                <w:b/>
                <w:color w:val="0B6E7D"/>
                <w:sz w:val="19"/>
              </w:rPr>
              <w:t>C</w:t>
            </w:r>
          </w:p>
        </w:tc>
        <w:tc>
          <w:tcPr>
            <w:tcW w:type="dxa" w:w="2736"/>
          </w:tcPr>
          <w:p>
            <w:r>
              <w:rPr>
                <w:rFonts w:ascii="Consolas" w:hAnsi="Consolas"/>
                <w:sz w:val="19"/>
              </w:rPr>
              <w:t>delivery_status_history</w:t>
            </w:r>
          </w:p>
        </w:tc>
        <w:tc>
          <w:tcPr>
            <w:tcW w:type="dxa" w:w="5976"/>
          </w:tcPr>
          <w:p>
            <w:r>
              <w:rPr>
                <w:color w:val="55636F"/>
                <w:sz w:val="19"/>
              </w:rPr>
              <w:t>Audit trail of delivery status transitions</w:t>
            </w:r>
          </w:p>
        </w:tc>
      </w:tr>
      <w:tr>
        <w:tc>
          <w:tcPr>
            <w:tcW w:type="dxa" w:w="792"/>
          </w:tcPr>
          <w:p>
            <w:r>
              <w:rPr>
                <w:b/>
                <w:color w:val="0B6E7D"/>
                <w:sz w:val="19"/>
              </w:rPr>
              <w:t>C</w:t>
            </w:r>
          </w:p>
        </w:tc>
        <w:tc>
          <w:tcPr>
            <w:tcW w:type="dxa" w:w="2736"/>
          </w:tcPr>
          <w:p>
            <w:r>
              <w:rPr>
                <w:rFonts w:ascii="Consolas" w:hAnsi="Consolas"/>
                <w:sz w:val="19"/>
              </w:rPr>
              <w:t>reviews</w:t>
            </w:r>
          </w:p>
        </w:tc>
        <w:tc>
          <w:tcPr>
            <w:tcW w:type="dxa" w:w="5976"/>
          </w:tcPr>
          <w:p>
            <w:r>
              <w:rPr>
                <w:color w:val="55636F"/>
                <w:sz w:val="19"/>
              </w:rPr>
              <w:t>Verified-purchase star ratings and written reviews</w:t>
            </w:r>
          </w:p>
        </w:tc>
      </w:tr>
      <w:tr>
        <w:tc>
          <w:tcPr>
            <w:tcW w:type="dxa" w:w="792"/>
          </w:tcPr>
          <w:p>
            <w:r>
              <w:rPr>
                <w:b/>
                <w:color w:val="0B6E7D"/>
                <w:sz w:val="19"/>
              </w:rPr>
              <w:t>C</w:t>
            </w:r>
          </w:p>
        </w:tc>
        <w:tc>
          <w:tcPr>
            <w:tcW w:type="dxa" w:w="2736"/>
          </w:tcPr>
          <w:p>
            <w:r>
              <w:rPr>
                <w:rFonts w:ascii="Consolas" w:hAnsi="Consolas"/>
                <w:sz w:val="19"/>
              </w:rPr>
              <w:t>moderation_logs</w:t>
            </w:r>
          </w:p>
        </w:tc>
        <w:tc>
          <w:tcPr>
            <w:tcW w:type="dxa" w:w="5976"/>
          </w:tcPr>
          <w:p>
            <w:r>
              <w:rPr>
                <w:color w:val="55636F"/>
                <w:sz w:val="19"/>
              </w:rPr>
              <w:t>Audit trail of review approve/reject/delete actions</w:t>
            </w:r>
          </w:p>
        </w:tc>
      </w:tr>
    </w:tbl>
    <w:p>
      <w:r>
        <w:rPr>
          <w:i/>
          <w:color w:val="55636F"/>
          <w:sz w:val="18"/>
        </w:rPr>
        <w:br/>
        <w:t>Source: genz-backend/genz-backend/db/schema.sql. Columns beyond primary/foreign keys are summarised on the diagram rather than fully enumerated, to keep each entity box readable; the complete column list, data types and constraint definitions for every table are in the schema file itself.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018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0182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B6E7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0182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